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hint="eastAsia" w:ascii="仿宋" w:hAnsi="仿宋" w:eastAsia="仿宋"/>
          <w:b/>
          <w:bCs/>
          <w:sz w:val="56"/>
          <w:szCs w:val="56"/>
        </w:rPr>
      </w:pPr>
    </w:p>
    <w:p>
      <w:pPr>
        <w:tabs>
          <w:tab w:val="left" w:pos="670"/>
          <w:tab w:val="center" w:pos="4252"/>
        </w:tabs>
        <w:spacing w:before="468" w:beforeLines="150" w:after="468" w:afterLines="150" w:line="700" w:lineRule="exact"/>
        <w:ind w:firstLine="129" w:firstLineChars="23"/>
        <w:jc w:val="center"/>
        <w:rPr>
          <w:rFonts w:hint="eastAsia" w:ascii="仿宋" w:hAnsi="仿宋" w:eastAsia="仿宋"/>
          <w:b/>
          <w:bCs/>
          <w:sz w:val="56"/>
          <w:szCs w:val="56"/>
        </w:rPr>
      </w:pPr>
    </w:p>
    <w:p>
      <w:pPr>
        <w:pStyle w:val="2"/>
        <w:jc w:val="center"/>
        <w:rPr>
          <w:sz w:val="84"/>
          <w:szCs w:val="84"/>
        </w:rPr>
      </w:pPr>
      <w:bookmarkStart w:id="0" w:name="_Toc202442807"/>
      <w:r>
        <w:rPr>
          <w:sz w:val="84"/>
          <w:szCs w:val="84"/>
        </w:rPr>
        <w:t>招</w:t>
      </w:r>
      <w:r>
        <w:rPr>
          <w:rFonts w:hint="eastAsia"/>
          <w:sz w:val="84"/>
          <w:szCs w:val="84"/>
        </w:rPr>
        <w:t xml:space="preserve"> </w:t>
      </w:r>
      <w:r>
        <w:rPr>
          <w:sz w:val="84"/>
          <w:szCs w:val="84"/>
        </w:rPr>
        <w:t>标</w:t>
      </w:r>
      <w:r>
        <w:rPr>
          <w:rFonts w:hint="eastAsia"/>
          <w:sz w:val="84"/>
          <w:szCs w:val="84"/>
        </w:rPr>
        <w:t xml:space="preserve"> </w:t>
      </w:r>
      <w:r>
        <w:rPr>
          <w:sz w:val="84"/>
          <w:szCs w:val="84"/>
        </w:rPr>
        <w:t>文</w:t>
      </w:r>
      <w:r>
        <w:rPr>
          <w:rFonts w:hint="eastAsia"/>
          <w:sz w:val="84"/>
          <w:szCs w:val="84"/>
        </w:rPr>
        <w:t xml:space="preserve"> </w:t>
      </w:r>
      <w:r>
        <w:rPr>
          <w:sz w:val="84"/>
          <w:szCs w:val="84"/>
        </w:rPr>
        <w:t>件</w:t>
      </w:r>
      <w:bookmarkEnd w:id="0"/>
    </w:p>
    <w:p>
      <w:pPr>
        <w:tabs>
          <w:tab w:val="right" w:pos="2552"/>
        </w:tabs>
        <w:spacing w:line="500" w:lineRule="exact"/>
        <w:ind w:firstLine="1871" w:firstLineChars="890"/>
        <w:rPr>
          <w:rFonts w:hint="eastAsia" w:ascii="仿宋" w:hAnsi="仿宋"/>
          <w:b/>
          <w:szCs w:val="28"/>
        </w:rPr>
      </w:pPr>
    </w:p>
    <w:p>
      <w:pPr>
        <w:tabs>
          <w:tab w:val="right" w:pos="2552"/>
        </w:tabs>
        <w:spacing w:line="500" w:lineRule="exact"/>
        <w:ind w:firstLine="149" w:firstLineChars="71"/>
        <w:jc w:val="center"/>
        <w:rPr>
          <w:rFonts w:hint="eastAsia" w:ascii="仿宋" w:hAnsi="仿宋"/>
          <w:b/>
          <w:szCs w:val="28"/>
          <w:u w:val="single"/>
        </w:rPr>
      </w:pPr>
      <w:r>
        <w:rPr>
          <w:rFonts w:hint="eastAsia" w:ascii="仿宋" w:hAnsi="仿宋"/>
          <w:b/>
          <w:szCs w:val="28"/>
        </w:rPr>
        <w:t>招标文件编号：Y</w:t>
      </w:r>
      <w:r>
        <w:rPr>
          <w:rFonts w:ascii="仿宋" w:hAnsi="仿宋"/>
          <w:b/>
          <w:szCs w:val="28"/>
        </w:rPr>
        <w:t>DDL</w:t>
      </w:r>
      <w:r>
        <w:rPr>
          <w:rFonts w:hint="eastAsia" w:ascii="仿宋" w:hAnsi="仿宋"/>
          <w:b/>
          <w:szCs w:val="28"/>
          <w:u w:val="single"/>
        </w:rPr>
        <w:t>20250708001</w:t>
      </w:r>
    </w:p>
    <w:p>
      <w:pPr>
        <w:spacing w:line="500" w:lineRule="exact"/>
        <w:ind w:left="1231" w:firstLine="720"/>
        <w:rPr>
          <w:rFonts w:hint="eastAsia" w:ascii="仿宋" w:hAnsi="仿宋"/>
          <w:sz w:val="36"/>
          <w:szCs w:val="36"/>
          <w:u w:val="single"/>
        </w:rPr>
      </w:pPr>
    </w:p>
    <w:p>
      <w:pPr>
        <w:spacing w:line="500" w:lineRule="exact"/>
        <w:ind w:firstLine="560"/>
        <w:rPr>
          <w:rFonts w:hint="eastAsia" w:ascii="仿宋" w:hAnsi="仿宋"/>
          <w:szCs w:val="28"/>
        </w:rPr>
      </w:pPr>
    </w:p>
    <w:p>
      <w:pPr>
        <w:spacing w:line="500" w:lineRule="exact"/>
        <w:ind w:firstLine="560"/>
        <w:rPr>
          <w:rFonts w:hint="eastAsia" w:ascii="仿宋" w:hAnsi="仿宋"/>
          <w:szCs w:val="28"/>
        </w:rPr>
      </w:pPr>
    </w:p>
    <w:p>
      <w:pPr>
        <w:spacing w:line="500" w:lineRule="exact"/>
        <w:ind w:firstLine="560"/>
        <w:rPr>
          <w:rFonts w:hint="eastAsia" w:ascii="仿宋" w:hAnsi="仿宋"/>
          <w:szCs w:val="28"/>
        </w:rPr>
      </w:pPr>
    </w:p>
    <w:p>
      <w:pPr>
        <w:spacing w:line="500" w:lineRule="exact"/>
        <w:ind w:firstLine="149" w:firstLineChars="71"/>
        <w:jc w:val="center"/>
        <w:rPr>
          <w:rFonts w:hint="eastAsia" w:ascii="仿宋" w:hAnsi="仿宋"/>
          <w:szCs w:val="28"/>
          <w:u w:val="single"/>
        </w:rPr>
      </w:pPr>
      <w:r>
        <w:rPr>
          <w:rFonts w:hint="eastAsia" w:ascii="仿宋" w:hAnsi="仿宋"/>
          <w:szCs w:val="28"/>
        </w:rPr>
        <w:t>项目名称：</w:t>
      </w:r>
      <w:r>
        <w:rPr>
          <w:rFonts w:ascii="仿宋" w:hAnsi="仿宋"/>
          <w:szCs w:val="28"/>
        </w:rPr>
        <w:t>远东海缆实验室检量测设备数字化系统项目</w:t>
      </w:r>
      <w:r>
        <w:rPr>
          <w:rFonts w:hint="eastAsia" w:ascii="仿宋" w:hAnsi="仿宋"/>
          <w:szCs w:val="28"/>
          <w:u w:val="single"/>
        </w:rPr>
        <w:t xml:space="preserve"> </w:t>
      </w:r>
    </w:p>
    <w:p>
      <w:pPr>
        <w:pStyle w:val="11"/>
        <w:spacing w:line="500" w:lineRule="exact"/>
        <w:ind w:leftChars="0" w:firstLine="198" w:firstLineChars="71"/>
        <w:jc w:val="center"/>
        <w:rPr>
          <w:rFonts w:hint="eastAsia" w:ascii="仿宋" w:hAnsi="仿宋"/>
          <w:szCs w:val="28"/>
          <w:u w:val="single"/>
        </w:rPr>
      </w:pPr>
      <w:r>
        <w:rPr>
          <w:rFonts w:hint="eastAsia" w:ascii="仿宋" w:hAnsi="仿宋"/>
          <w:szCs w:val="28"/>
        </w:rPr>
        <w:t>招标单位：</w:t>
      </w:r>
      <w:r>
        <w:rPr>
          <w:rFonts w:hint="eastAsia" w:ascii="仿宋" w:hAnsi="仿宋"/>
          <w:szCs w:val="28"/>
          <w:u w:val="single"/>
        </w:rPr>
        <w:t>远东海缆有限公司</w:t>
      </w:r>
    </w:p>
    <w:p>
      <w:pPr>
        <w:widowControl/>
        <w:spacing w:line="360" w:lineRule="auto"/>
        <w:jc w:val="center"/>
        <w:rPr>
          <w:rFonts w:hint="eastAsia" w:ascii="仿宋" w:hAnsi="仿宋" w:eastAsia="仿宋"/>
          <w:b/>
          <w:bCs/>
          <w:sz w:val="56"/>
          <w:szCs w:val="56"/>
        </w:rPr>
      </w:pPr>
    </w:p>
    <w:p>
      <w:pPr>
        <w:widowControl/>
        <w:spacing w:line="360" w:lineRule="auto"/>
        <w:jc w:val="center"/>
        <w:rPr>
          <w:rFonts w:hint="eastAsia" w:ascii="仿宋" w:hAnsi="仿宋" w:eastAsia="仿宋"/>
          <w:b/>
          <w:bCs/>
          <w:sz w:val="56"/>
          <w:szCs w:val="56"/>
        </w:rPr>
      </w:pPr>
    </w:p>
    <w:p>
      <w:pPr>
        <w:widowControl/>
        <w:spacing w:line="360" w:lineRule="auto"/>
        <w:jc w:val="center"/>
        <w:rPr>
          <w:rFonts w:hint="eastAsia" w:ascii="仿宋" w:hAnsi="仿宋" w:eastAsia="仿宋"/>
          <w:b/>
          <w:bCs/>
          <w:sz w:val="56"/>
          <w:szCs w:val="56"/>
        </w:rPr>
      </w:pPr>
    </w:p>
    <w:p>
      <w:pPr>
        <w:widowControl/>
        <w:spacing w:line="360" w:lineRule="auto"/>
        <w:jc w:val="center"/>
        <w:rPr>
          <w:rFonts w:hint="eastAsia" w:ascii="仿宋" w:hAnsi="仿宋" w:eastAsia="仿宋"/>
          <w:b/>
          <w:bCs/>
          <w:sz w:val="56"/>
          <w:szCs w:val="56"/>
        </w:rPr>
      </w:pPr>
    </w:p>
    <w:p>
      <w:pPr>
        <w:widowControl/>
        <w:spacing w:line="360" w:lineRule="auto"/>
        <w:jc w:val="center"/>
        <w:rPr>
          <w:rFonts w:hint="eastAsia" w:ascii="仿宋" w:hAnsi="仿宋" w:eastAsia="仿宋"/>
          <w:b/>
          <w:bCs/>
          <w:sz w:val="56"/>
          <w:szCs w:val="56"/>
        </w:rPr>
      </w:pPr>
    </w:p>
    <w:p>
      <w:pPr>
        <w:widowControl/>
        <w:spacing w:line="360" w:lineRule="auto"/>
        <w:rPr>
          <w:rFonts w:hint="eastAsia" w:ascii="仿宋" w:hAnsi="仿宋" w:eastAsia="仿宋"/>
          <w:b/>
          <w:bCs/>
          <w:sz w:val="36"/>
          <w:szCs w:val="36"/>
        </w:rPr>
      </w:pPr>
    </w:p>
    <w:p>
      <w:pPr>
        <w:pStyle w:val="35"/>
        <w:spacing w:before="0" w:line="500" w:lineRule="exact"/>
        <w:ind w:left="1094" w:firstLine="643"/>
        <w:jc w:val="center"/>
        <w:rPr>
          <w:rFonts w:hint="eastAsia" w:ascii="仿宋" w:hAnsi="仿宋" w:eastAsia="仿宋"/>
          <w:lang w:val="zh-CN"/>
        </w:rPr>
      </w:pPr>
      <w:r>
        <w:rPr>
          <w:rFonts w:ascii="仿宋" w:hAnsi="仿宋" w:eastAsia="仿宋"/>
          <w:lang w:val="zh-CN"/>
        </w:rPr>
        <w:t>目</w:t>
      </w:r>
      <w:r>
        <w:rPr>
          <w:rFonts w:hint="eastAsia" w:ascii="仿宋" w:hAnsi="仿宋" w:eastAsia="仿宋"/>
          <w:lang w:val="zh-CN"/>
        </w:rPr>
        <w:t xml:space="preserve">  </w:t>
      </w:r>
      <w:r>
        <w:rPr>
          <w:rFonts w:ascii="仿宋" w:hAnsi="仿宋" w:eastAsia="仿宋"/>
          <w:lang w:val="zh-CN"/>
        </w:rPr>
        <w:t>录</w:t>
      </w:r>
    </w:p>
    <w:p>
      <w:pPr>
        <w:pStyle w:val="15"/>
        <w:tabs>
          <w:tab w:val="right" w:leader="dot" w:pos="9004"/>
        </w:tabs>
        <w:ind w:firstLine="480"/>
        <w:rPr>
          <w:rFonts w:hint="eastAsia" w:asciiTheme="minorHAnsi" w:hAnsiTheme="minorHAnsi" w:eastAsiaTheme="minorEastAsia" w:cstheme="minorBidi"/>
          <w:sz w:val="22"/>
          <w14:ligatures w14:val="standardContextual"/>
        </w:rPr>
      </w:pPr>
      <w:r>
        <w:rPr>
          <w:rFonts w:ascii="仿宋" w:hAnsi="仿宋"/>
          <w:sz w:val="24"/>
        </w:rPr>
        <w:fldChar w:fldCharType="begin"/>
      </w:r>
      <w:r>
        <w:rPr>
          <w:rFonts w:ascii="仿宋" w:hAnsi="仿宋"/>
          <w:sz w:val="24"/>
        </w:rPr>
        <w:instrText xml:space="preserve"> TOC \o "1-3" \h \z \u </w:instrText>
      </w:r>
      <w:r>
        <w:rPr>
          <w:rFonts w:ascii="仿宋" w:hAnsi="仿宋"/>
          <w:sz w:val="24"/>
        </w:rPr>
        <w:fldChar w:fldCharType="separate"/>
      </w:r>
      <w:r>
        <w:fldChar w:fldCharType="begin"/>
      </w:r>
      <w:r>
        <w:instrText xml:space="preserve"> HYPERLINK \l "_Toc202442807" </w:instrText>
      </w:r>
      <w:r>
        <w:fldChar w:fldCharType="separate"/>
      </w:r>
      <w:r>
        <w:rPr>
          <w:rStyle w:val="23"/>
          <w:rFonts w:hint="eastAsia"/>
        </w:rPr>
        <w:t>招 标 文 件</w:t>
      </w:r>
      <w:r>
        <w:rPr>
          <w:rFonts w:hint="eastAsia"/>
        </w:rPr>
        <w:tab/>
      </w:r>
      <w:r>
        <w:rPr>
          <w:rFonts w:hint="eastAsia"/>
        </w:rPr>
        <w:fldChar w:fldCharType="begin"/>
      </w:r>
      <w:r>
        <w:rPr>
          <w:rFonts w:hint="eastAsia"/>
        </w:rPr>
        <w:instrText xml:space="preserve"> </w:instrText>
      </w:r>
      <w:r>
        <w:instrText xml:space="preserve">PAGEREF _Toc202442807 \h</w:instrText>
      </w:r>
      <w:r>
        <w:rPr>
          <w:rFonts w:hint="eastAsia"/>
        </w:rPr>
        <w:instrText xml:space="preserve"> </w:instrText>
      </w:r>
      <w:r>
        <w:rPr>
          <w:rFonts w:hint="eastAsia"/>
        </w:rPr>
        <w:fldChar w:fldCharType="separate"/>
      </w:r>
      <w:r>
        <w:t>1</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"_Toc202442808" </w:instrText>
      </w:r>
      <w:r>
        <w:fldChar w:fldCharType="separate"/>
      </w:r>
      <w:r>
        <w:rPr>
          <w:rStyle w:val="23"/>
          <w:rFonts w:hint="eastAsia"/>
        </w:rPr>
        <w:t>第一部分 投标邀请</w:t>
      </w:r>
      <w:r>
        <w:rPr>
          <w:rFonts w:hint="eastAsia"/>
        </w:rPr>
        <w:tab/>
      </w:r>
      <w:r>
        <w:rPr>
          <w:rFonts w:hint="eastAsia"/>
        </w:rPr>
        <w:fldChar w:fldCharType="begin"/>
      </w:r>
      <w:r>
        <w:rPr>
          <w:rFonts w:hint="eastAsia"/>
        </w:rPr>
        <w:instrText xml:space="preserve"> </w:instrText>
      </w:r>
      <w:r>
        <w:instrText xml:space="preserve">PAGEREF _Toc202442808 \h</w:instrText>
      </w:r>
      <w:r>
        <w:rPr>
          <w:rFonts w:hint="eastAsia"/>
        </w:rPr>
        <w:instrText xml:space="preserve"> </w:instrText>
      </w:r>
      <w:r>
        <w:rPr>
          <w:rFonts w:hint="eastAsia"/>
        </w:rPr>
        <w:fldChar w:fldCharType="separate"/>
      </w:r>
      <w:r>
        <w:t>5</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"_Toc202442809" </w:instrText>
      </w:r>
      <w:r>
        <w:fldChar w:fldCharType="separate"/>
      </w:r>
      <w:r>
        <w:rPr>
          <w:rStyle w:val="23"/>
          <w:rFonts w:hint="eastAsia"/>
        </w:rPr>
        <w:t>第二部分 投标人须知</w:t>
      </w:r>
      <w:r>
        <w:rPr>
          <w:rFonts w:hint="eastAsia"/>
        </w:rPr>
        <w:tab/>
      </w:r>
      <w:r>
        <w:rPr>
          <w:rFonts w:hint="eastAsia"/>
        </w:rPr>
        <w:fldChar w:fldCharType="begin"/>
      </w:r>
      <w:r>
        <w:rPr>
          <w:rFonts w:hint="eastAsia"/>
        </w:rPr>
        <w:instrText xml:space="preserve"> </w:instrText>
      </w:r>
      <w:r>
        <w:instrText xml:space="preserve">PAGEREF _Toc202442809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"_Toc202442810" </w:instrText>
      </w:r>
      <w:r>
        <w:fldChar w:fldCharType="separate"/>
      </w:r>
      <w:r>
        <w:rPr>
          <w:rStyle w:val="23"/>
          <w:rFonts w:hint="eastAsia" w:ascii="仿宋" w:hAnsi="仿宋"/>
        </w:rPr>
        <w:t>一、说明</w:t>
      </w:r>
      <w:r>
        <w:rPr>
          <w:rFonts w:hint="eastAsia"/>
        </w:rPr>
        <w:tab/>
      </w:r>
      <w:r>
        <w:rPr>
          <w:rFonts w:hint="eastAsia"/>
        </w:rPr>
        <w:fldChar w:fldCharType="begin"/>
      </w:r>
      <w:r>
        <w:rPr>
          <w:rFonts w:hint="eastAsia"/>
        </w:rPr>
        <w:instrText xml:space="preserve"> </w:instrText>
      </w:r>
      <w:r>
        <w:instrText xml:space="preserve">PAGEREF _Toc202442810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"_Toc202442811" </w:instrText>
      </w:r>
      <w:r>
        <w:fldChar w:fldCharType="separate"/>
      </w:r>
      <w:r>
        <w:rPr>
          <w:rStyle w:val="23"/>
          <w:rFonts w:hint="eastAsia" w:ascii="仿宋" w:hAnsi="仿宋"/>
        </w:rPr>
        <w:t>1、本招标文件有关条款由招标人负责解释。</w:t>
      </w:r>
      <w:r>
        <w:rPr>
          <w:rFonts w:hint="eastAsia"/>
        </w:rPr>
        <w:tab/>
      </w:r>
      <w:r>
        <w:rPr>
          <w:rFonts w:hint="eastAsia"/>
        </w:rPr>
        <w:fldChar w:fldCharType="begin"/>
      </w:r>
      <w:r>
        <w:rPr>
          <w:rFonts w:hint="eastAsia"/>
        </w:rPr>
        <w:instrText xml:space="preserve"> </w:instrText>
      </w:r>
      <w:r>
        <w:instrText xml:space="preserve">PAGEREF _Toc202442811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"_Toc202442812" </w:instrText>
      </w:r>
      <w:r>
        <w:fldChar w:fldCharType="separate"/>
      </w:r>
      <w:r>
        <w:rPr>
          <w:rStyle w:val="23"/>
          <w:rFonts w:hint="eastAsia" w:ascii="仿宋" w:hAnsi="仿宋"/>
        </w:rPr>
        <w:t>2、招标人</w:t>
      </w:r>
      <w:r>
        <w:rPr>
          <w:rFonts w:hint="eastAsia"/>
        </w:rPr>
        <w:tab/>
      </w:r>
      <w:r>
        <w:rPr>
          <w:rFonts w:hint="eastAsia"/>
        </w:rPr>
        <w:fldChar w:fldCharType="begin"/>
      </w:r>
      <w:r>
        <w:rPr>
          <w:rFonts w:hint="eastAsia"/>
        </w:rPr>
        <w:instrText xml:space="preserve"> </w:instrText>
      </w:r>
      <w:r>
        <w:instrText xml:space="preserve">PAGEREF _Toc202442812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"_Toc202442813" </w:instrText>
      </w:r>
      <w:r>
        <w:fldChar w:fldCharType="separate"/>
      </w:r>
      <w:r>
        <w:rPr>
          <w:rStyle w:val="23"/>
          <w:rFonts w:hint="eastAsia" w:ascii="仿宋" w:hAnsi="仿宋"/>
        </w:rPr>
        <w:t>3、合格的投标人</w:t>
      </w:r>
      <w:r>
        <w:rPr>
          <w:rFonts w:hint="eastAsia"/>
        </w:rPr>
        <w:tab/>
      </w:r>
      <w:r>
        <w:rPr>
          <w:rFonts w:hint="eastAsia"/>
        </w:rPr>
        <w:fldChar w:fldCharType="begin"/>
      </w:r>
      <w:r>
        <w:rPr>
          <w:rFonts w:hint="eastAsia"/>
        </w:rPr>
        <w:instrText xml:space="preserve"> </w:instrText>
      </w:r>
      <w:r>
        <w:instrText xml:space="preserve">PAGEREF _Toc202442813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"_Toc202442814" </w:instrText>
      </w:r>
      <w:r>
        <w:fldChar w:fldCharType="separate"/>
      </w:r>
      <w:r>
        <w:rPr>
          <w:rStyle w:val="23"/>
          <w:rFonts w:hint="eastAsia" w:ascii="仿宋" w:hAnsi="仿宋"/>
        </w:rPr>
        <w:t>4、投标费用</w:t>
      </w:r>
      <w:r>
        <w:rPr>
          <w:rFonts w:hint="eastAsia"/>
        </w:rPr>
        <w:tab/>
      </w:r>
      <w:r>
        <w:rPr>
          <w:rFonts w:hint="eastAsia"/>
        </w:rPr>
        <w:fldChar w:fldCharType="begin"/>
      </w:r>
      <w:r>
        <w:rPr>
          <w:rFonts w:hint="eastAsia"/>
        </w:rPr>
        <w:instrText xml:space="preserve"> </w:instrText>
      </w:r>
      <w:r>
        <w:instrText xml:space="preserve">PAGEREF _Toc202442814 \h</w:instrText>
      </w:r>
      <w:r>
        <w:rPr>
          <w:rFonts w:hint="eastAsia"/>
        </w:rPr>
        <w:instrText xml:space="preserve"> </w:instrText>
      </w:r>
      <w:r>
        <w:rPr>
          <w:rFonts w:hint="eastAsia"/>
        </w:rPr>
        <w:fldChar w:fldCharType="separate"/>
      </w:r>
      <w:r>
        <w:t>6</w:t>
      </w:r>
      <w:r>
        <w:rPr>
          <w:rFonts w:hint="eastAsia"/>
        </w:rPr>
        <w:fldChar w:fldCharType="end"/>
      </w:r>
      <w:r>
        <w:rPr>
          <w:rFonts w:hint="eastAsia"/>
        </w:rPr>
        <w:fldChar w:fldCharType="end"/>
      </w:r>
    </w:p>
    <w:p>
      <w:pPr>
        <w:pStyle w:val="17"/>
        <w:tabs>
          <w:tab w:val="left" w:pos="178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"_Toc202442815" </w:instrText>
      </w:r>
      <w:r>
        <w:fldChar w:fldCharType="separate"/>
      </w:r>
      <w:r>
        <w:rPr>
          <w:rStyle w:val="23"/>
          <w:rFonts w:hint="eastAsia" w:ascii="仿宋" w:hAnsi="仿宋"/>
        </w:rPr>
        <w:t>二、</w:t>
      </w:r>
      <w:r>
        <w:rPr>
          <w:rFonts w:hint="eastAsia" w:asciiTheme="minorHAnsi" w:hAnsiTheme="minorHAnsi" w:eastAsiaTheme="minorEastAsia" w:cstheme="minorBidi"/>
          <w:sz w:val="22"/>
          <w14:ligatures w14:val="standardContextual"/>
        </w:rPr>
        <w:tab/>
      </w:r>
      <w:r>
        <w:rPr>
          <w:rStyle w:val="23"/>
          <w:rFonts w:hint="eastAsia" w:ascii="仿宋" w:hAnsi="仿宋"/>
        </w:rPr>
        <w:t>投标文件</w:t>
      </w:r>
      <w:r>
        <w:rPr>
          <w:rFonts w:hint="eastAsia"/>
        </w:rPr>
        <w:tab/>
      </w:r>
      <w:r>
        <w:rPr>
          <w:rFonts w:hint="eastAsia"/>
        </w:rPr>
        <w:fldChar w:fldCharType="begin"/>
      </w:r>
      <w:r>
        <w:rPr>
          <w:rFonts w:hint="eastAsia"/>
        </w:rPr>
        <w:instrText xml:space="preserve"> </w:instrText>
      </w:r>
      <w:r>
        <w:instrText xml:space="preserve">PAGEREF _Toc202442815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"_Toc202442816" </w:instrText>
      </w:r>
      <w:r>
        <w:fldChar w:fldCharType="separate"/>
      </w:r>
      <w:r>
        <w:rPr>
          <w:rStyle w:val="23"/>
          <w:rFonts w:hint="eastAsia" w:ascii="仿宋" w:hAnsi="仿宋"/>
        </w:rPr>
        <w:t>1、投标的语言</w:t>
      </w:r>
      <w:r>
        <w:rPr>
          <w:rFonts w:hint="eastAsia"/>
        </w:rPr>
        <w:tab/>
      </w:r>
      <w:r>
        <w:rPr>
          <w:rFonts w:hint="eastAsia"/>
        </w:rPr>
        <w:fldChar w:fldCharType="begin"/>
      </w:r>
      <w:r>
        <w:rPr>
          <w:rFonts w:hint="eastAsia"/>
        </w:rPr>
        <w:instrText xml:space="preserve"> </w:instrText>
      </w:r>
      <w:r>
        <w:instrText xml:space="preserve">PAGEREF _Toc202442816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"_Toc202442817" </w:instrText>
      </w:r>
      <w:r>
        <w:fldChar w:fldCharType="separate"/>
      </w:r>
      <w:r>
        <w:rPr>
          <w:rStyle w:val="23"/>
          <w:rFonts w:hint="eastAsia" w:ascii="仿宋" w:hAnsi="仿宋"/>
        </w:rPr>
        <w:t>2、投标文件构成</w:t>
      </w:r>
      <w:r>
        <w:rPr>
          <w:rFonts w:hint="eastAsia"/>
        </w:rPr>
        <w:tab/>
      </w:r>
      <w:r>
        <w:rPr>
          <w:rFonts w:hint="eastAsia"/>
        </w:rPr>
        <w:fldChar w:fldCharType="begin"/>
      </w:r>
      <w:r>
        <w:rPr>
          <w:rFonts w:hint="eastAsia"/>
        </w:rPr>
        <w:instrText xml:space="preserve"> </w:instrText>
      </w:r>
      <w:r>
        <w:instrText xml:space="preserve">PAGEREF _Toc202442817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"_Toc202442818" </w:instrText>
      </w:r>
      <w:r>
        <w:fldChar w:fldCharType="separate"/>
      </w:r>
      <w:r>
        <w:rPr>
          <w:rStyle w:val="23"/>
          <w:rFonts w:hint="eastAsia" w:ascii="仿宋" w:hAnsi="仿宋"/>
        </w:rPr>
        <w:t>3、投标书</w:t>
      </w:r>
      <w:r>
        <w:rPr>
          <w:rFonts w:hint="eastAsia"/>
        </w:rPr>
        <w:tab/>
      </w:r>
      <w:r>
        <w:rPr>
          <w:rFonts w:hint="eastAsia"/>
        </w:rPr>
        <w:fldChar w:fldCharType="begin"/>
      </w:r>
      <w:r>
        <w:rPr>
          <w:rFonts w:hint="eastAsia"/>
        </w:rPr>
        <w:instrText xml:space="preserve"> </w:instrText>
      </w:r>
      <w:r>
        <w:instrText xml:space="preserve">PAGEREF _Toc202442818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"_Toc202442819" </w:instrText>
      </w:r>
      <w:r>
        <w:fldChar w:fldCharType="separate"/>
      </w:r>
      <w:r>
        <w:rPr>
          <w:rStyle w:val="23"/>
          <w:rFonts w:hint="eastAsia" w:ascii="仿宋" w:hAnsi="仿宋"/>
        </w:rPr>
        <w:t>4、投标报价和货币</w:t>
      </w:r>
      <w:r>
        <w:rPr>
          <w:rFonts w:hint="eastAsia"/>
        </w:rPr>
        <w:tab/>
      </w:r>
      <w:r>
        <w:rPr>
          <w:rFonts w:hint="eastAsia"/>
        </w:rPr>
        <w:fldChar w:fldCharType="begin"/>
      </w:r>
      <w:r>
        <w:rPr>
          <w:rFonts w:hint="eastAsia"/>
        </w:rPr>
        <w:instrText xml:space="preserve"> </w:instrText>
      </w:r>
      <w:r>
        <w:instrText xml:space="preserve">PAGEREF _Toc202442819 \h</w:instrText>
      </w:r>
      <w:r>
        <w:rPr>
          <w:rFonts w:hint="eastAsia"/>
        </w:rPr>
        <w:instrText xml:space="preserve"> </w:instrText>
      </w:r>
      <w:r>
        <w:rPr>
          <w:rFonts w:hint="eastAsia"/>
        </w:rPr>
        <w:fldChar w:fldCharType="separate"/>
      </w:r>
      <w:r>
        <w:t>7</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"_Toc202442820" </w:instrText>
      </w:r>
      <w:r>
        <w:fldChar w:fldCharType="separate"/>
      </w:r>
      <w:r>
        <w:rPr>
          <w:rStyle w:val="23"/>
          <w:rFonts w:hint="eastAsia" w:ascii="仿宋" w:hAnsi="仿宋"/>
        </w:rPr>
        <w:t>5、投标文件的式样和签署</w:t>
      </w:r>
      <w:r>
        <w:rPr>
          <w:rFonts w:hint="eastAsia"/>
        </w:rPr>
        <w:tab/>
      </w:r>
      <w:r>
        <w:rPr>
          <w:rFonts w:hint="eastAsia"/>
        </w:rPr>
        <w:fldChar w:fldCharType="begin"/>
      </w:r>
      <w:r>
        <w:rPr>
          <w:rFonts w:hint="eastAsia"/>
        </w:rPr>
        <w:instrText xml:space="preserve"> </w:instrText>
      </w:r>
      <w:r>
        <w:instrText xml:space="preserve">PAGEREF _Toc202442820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"_Toc202442821" </w:instrText>
      </w:r>
      <w:r>
        <w:fldChar w:fldCharType="separate"/>
      </w:r>
      <w:r>
        <w:rPr>
          <w:rStyle w:val="23"/>
          <w:rFonts w:hint="eastAsia" w:ascii="仿宋" w:hAnsi="仿宋"/>
        </w:rPr>
        <w:t>三、投标文件的递交</w:t>
      </w:r>
      <w:r>
        <w:rPr>
          <w:rFonts w:hint="eastAsia"/>
        </w:rPr>
        <w:tab/>
      </w:r>
      <w:r>
        <w:rPr>
          <w:rFonts w:hint="eastAsia"/>
        </w:rPr>
        <w:fldChar w:fldCharType="begin"/>
      </w:r>
      <w:r>
        <w:rPr>
          <w:rFonts w:hint="eastAsia"/>
        </w:rPr>
        <w:instrText xml:space="preserve"> </w:instrText>
      </w:r>
      <w:r>
        <w:instrText xml:space="preserve">PAGEREF _Toc202442821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"_Toc202442822" </w:instrText>
      </w:r>
      <w:r>
        <w:fldChar w:fldCharType="separate"/>
      </w:r>
      <w:r>
        <w:rPr>
          <w:rStyle w:val="23"/>
          <w:rFonts w:hint="eastAsia" w:ascii="仿宋" w:hAnsi="仿宋"/>
        </w:rPr>
        <w:t>1、投标文件的密封和标记。</w:t>
      </w:r>
      <w:r>
        <w:rPr>
          <w:rFonts w:hint="eastAsia"/>
        </w:rPr>
        <w:tab/>
      </w:r>
      <w:r>
        <w:rPr>
          <w:rFonts w:hint="eastAsia"/>
        </w:rPr>
        <w:fldChar w:fldCharType="begin"/>
      </w:r>
      <w:r>
        <w:rPr>
          <w:rFonts w:hint="eastAsia"/>
        </w:rPr>
        <w:instrText xml:space="preserve"> </w:instrText>
      </w:r>
      <w:r>
        <w:instrText xml:space="preserve">PAGEREF _Toc202442822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"_Toc202442823" </w:instrText>
      </w:r>
      <w:r>
        <w:fldChar w:fldCharType="separate"/>
      </w:r>
      <w:r>
        <w:rPr>
          <w:rStyle w:val="23"/>
          <w:rFonts w:hint="eastAsia" w:ascii="仿宋" w:hAnsi="仿宋"/>
        </w:rPr>
        <w:t>2、投标截止期</w:t>
      </w:r>
      <w:r>
        <w:rPr>
          <w:rFonts w:hint="eastAsia"/>
        </w:rPr>
        <w:tab/>
      </w:r>
      <w:r>
        <w:rPr>
          <w:rFonts w:hint="eastAsia"/>
        </w:rPr>
        <w:fldChar w:fldCharType="begin"/>
      </w:r>
      <w:r>
        <w:rPr>
          <w:rFonts w:hint="eastAsia"/>
        </w:rPr>
        <w:instrText xml:space="preserve"> </w:instrText>
      </w:r>
      <w:r>
        <w:instrText xml:space="preserve">PAGEREF _Toc202442823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"_Toc202442824" </w:instrText>
      </w:r>
      <w:r>
        <w:fldChar w:fldCharType="separate"/>
      </w:r>
      <w:r>
        <w:rPr>
          <w:rStyle w:val="23"/>
          <w:rFonts w:hint="eastAsia" w:ascii="仿宋" w:hAnsi="仿宋"/>
        </w:rPr>
        <w:t>3、标书递交方式</w:t>
      </w:r>
      <w:r>
        <w:rPr>
          <w:rFonts w:hint="eastAsia"/>
        </w:rPr>
        <w:tab/>
      </w:r>
      <w:r>
        <w:rPr>
          <w:rFonts w:hint="eastAsia"/>
        </w:rPr>
        <w:fldChar w:fldCharType="begin"/>
      </w:r>
      <w:r>
        <w:rPr>
          <w:rFonts w:hint="eastAsia"/>
        </w:rPr>
        <w:instrText xml:space="preserve"> </w:instrText>
      </w:r>
      <w:r>
        <w:instrText xml:space="preserve">PAGEREF _Toc202442824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"_Toc202442825" </w:instrText>
      </w:r>
      <w:r>
        <w:fldChar w:fldCharType="separate"/>
      </w:r>
      <w:r>
        <w:rPr>
          <w:rStyle w:val="23"/>
          <w:rFonts w:hint="eastAsia" w:ascii="仿宋" w:hAnsi="仿宋"/>
        </w:rPr>
        <w:t>四、开标与评标</w:t>
      </w:r>
      <w:r>
        <w:rPr>
          <w:rFonts w:hint="eastAsia"/>
        </w:rPr>
        <w:tab/>
      </w:r>
      <w:r>
        <w:rPr>
          <w:rFonts w:hint="eastAsia"/>
        </w:rPr>
        <w:fldChar w:fldCharType="begin"/>
      </w:r>
      <w:r>
        <w:rPr>
          <w:rFonts w:hint="eastAsia"/>
        </w:rPr>
        <w:instrText xml:space="preserve"> </w:instrText>
      </w:r>
      <w:r>
        <w:instrText xml:space="preserve">PAGEREF _Toc202442825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"_Toc202442826" </w:instrText>
      </w:r>
      <w:r>
        <w:fldChar w:fldCharType="separate"/>
      </w:r>
      <w:r>
        <w:rPr>
          <w:rStyle w:val="23"/>
          <w:rFonts w:hint="eastAsia" w:ascii="仿宋" w:hAnsi="仿宋"/>
        </w:rPr>
        <w:t>1、符合性确认</w:t>
      </w:r>
      <w:r>
        <w:rPr>
          <w:rFonts w:hint="eastAsia"/>
        </w:rPr>
        <w:tab/>
      </w:r>
      <w:r>
        <w:rPr>
          <w:rFonts w:hint="eastAsia"/>
        </w:rPr>
        <w:fldChar w:fldCharType="begin"/>
      </w:r>
      <w:r>
        <w:rPr>
          <w:rFonts w:hint="eastAsia"/>
        </w:rPr>
        <w:instrText xml:space="preserve"> </w:instrText>
      </w:r>
      <w:r>
        <w:instrText xml:space="preserve">PAGEREF _Toc202442826 \h</w:instrText>
      </w:r>
      <w:r>
        <w:rPr>
          <w:rFonts w:hint="eastAsia"/>
        </w:rPr>
        <w:instrText xml:space="preserve"> </w:instrText>
      </w:r>
      <w:r>
        <w:rPr>
          <w:rFonts w:hint="eastAsia"/>
        </w:rPr>
        <w:fldChar w:fldCharType="separate"/>
      </w:r>
      <w:r>
        <w:t>8</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"_Toc202442827" </w:instrText>
      </w:r>
      <w:r>
        <w:fldChar w:fldCharType="separate"/>
      </w:r>
      <w:r>
        <w:rPr>
          <w:rStyle w:val="23"/>
          <w:rFonts w:hint="eastAsia" w:ascii="仿宋" w:hAnsi="仿宋"/>
        </w:rPr>
        <w:t>2、开标程序</w:t>
      </w:r>
      <w:r>
        <w:rPr>
          <w:rFonts w:hint="eastAsia"/>
        </w:rPr>
        <w:tab/>
      </w:r>
      <w:r>
        <w:rPr>
          <w:rFonts w:hint="eastAsia"/>
        </w:rPr>
        <w:fldChar w:fldCharType="begin"/>
      </w:r>
      <w:r>
        <w:rPr>
          <w:rFonts w:hint="eastAsia"/>
        </w:rPr>
        <w:instrText xml:space="preserve"> </w:instrText>
      </w:r>
      <w:r>
        <w:instrText xml:space="preserve">PAGEREF _Toc202442827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9"/>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"_Toc202442828" </w:instrText>
      </w:r>
      <w:r>
        <w:fldChar w:fldCharType="separate"/>
      </w:r>
      <w:r>
        <w:rPr>
          <w:rStyle w:val="23"/>
          <w:rFonts w:hint="eastAsia" w:ascii="仿宋" w:hAnsi="仿宋"/>
        </w:rPr>
        <w:t>3、评标一般规定</w:t>
      </w:r>
      <w:r>
        <w:rPr>
          <w:rFonts w:hint="eastAsia"/>
        </w:rPr>
        <w:tab/>
      </w:r>
      <w:r>
        <w:rPr>
          <w:rFonts w:hint="eastAsia"/>
        </w:rPr>
        <w:fldChar w:fldCharType="begin"/>
      </w:r>
      <w:r>
        <w:rPr>
          <w:rFonts w:hint="eastAsia"/>
        </w:rPr>
        <w:instrText xml:space="preserve"> </w:instrText>
      </w:r>
      <w:r>
        <w:instrText xml:space="preserve">PAGEREF _Toc202442828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"_Toc202442829" </w:instrText>
      </w:r>
      <w:r>
        <w:fldChar w:fldCharType="separate"/>
      </w:r>
      <w:r>
        <w:rPr>
          <w:rStyle w:val="23"/>
          <w:rFonts w:hint="eastAsia"/>
        </w:rPr>
        <w:t>第三部分 项目需求</w:t>
      </w:r>
      <w:r>
        <w:rPr>
          <w:rFonts w:hint="eastAsia"/>
        </w:rPr>
        <w:tab/>
      </w:r>
      <w:r>
        <w:rPr>
          <w:rFonts w:hint="eastAsia"/>
        </w:rPr>
        <w:fldChar w:fldCharType="begin"/>
      </w:r>
      <w:r>
        <w:rPr>
          <w:rFonts w:hint="eastAsia"/>
        </w:rPr>
        <w:instrText xml:space="preserve"> </w:instrText>
      </w:r>
      <w:r>
        <w:instrText xml:space="preserve">PAGEREF _Toc202442829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"_Toc202442830" </w:instrText>
      </w:r>
      <w:r>
        <w:fldChar w:fldCharType="separate"/>
      </w:r>
      <w:r>
        <w:rPr>
          <w:rStyle w:val="23"/>
          <w:rFonts w:hint="eastAsia"/>
        </w:rPr>
        <w:t>一 方案概述</w:t>
      </w:r>
      <w:r>
        <w:rPr>
          <w:rFonts w:hint="eastAsia"/>
        </w:rPr>
        <w:tab/>
      </w:r>
      <w:r>
        <w:rPr>
          <w:rFonts w:hint="eastAsia"/>
        </w:rPr>
        <w:fldChar w:fldCharType="begin"/>
      </w:r>
      <w:r>
        <w:rPr>
          <w:rFonts w:hint="eastAsia"/>
        </w:rPr>
        <w:instrText xml:space="preserve"> </w:instrText>
      </w:r>
      <w:r>
        <w:instrText xml:space="preserve">PAGEREF _Toc202442830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17"/>
        <w:tabs>
          <w:tab w:val="left" w:pos="176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"_Toc202442831" </w:instrText>
      </w:r>
      <w:r>
        <w:fldChar w:fldCharType="separate"/>
      </w:r>
      <w:r>
        <w:rPr>
          <w:rStyle w:val="23"/>
          <w:rFonts w:hint="eastAsia"/>
        </w:rPr>
        <w:t>1.1</w:t>
      </w:r>
      <w:r>
        <w:rPr>
          <w:rFonts w:hint="eastAsia" w:asciiTheme="minorHAnsi" w:hAnsiTheme="minorHAnsi" w:eastAsiaTheme="minorEastAsia" w:cstheme="minorBidi"/>
          <w:sz w:val="22"/>
          <w14:ligatures w14:val="standardContextual"/>
        </w:rPr>
        <w:tab/>
      </w:r>
      <w:r>
        <w:rPr>
          <w:rStyle w:val="23"/>
          <w:rFonts w:hint="eastAsia"/>
        </w:rPr>
        <w:t>项目背景</w:t>
      </w:r>
      <w:r>
        <w:rPr>
          <w:rFonts w:hint="eastAsia"/>
        </w:rPr>
        <w:tab/>
      </w:r>
      <w:r>
        <w:rPr>
          <w:rFonts w:hint="eastAsia"/>
        </w:rPr>
        <w:fldChar w:fldCharType="begin"/>
      </w:r>
      <w:r>
        <w:rPr>
          <w:rFonts w:hint="eastAsia"/>
        </w:rPr>
        <w:instrText xml:space="preserve"> </w:instrText>
      </w:r>
      <w:r>
        <w:instrText xml:space="preserve">PAGEREF _Toc202442831 \h</w:instrText>
      </w:r>
      <w:r>
        <w:rPr>
          <w:rFonts w:hint="eastAsia"/>
        </w:rPr>
        <w:instrText xml:space="preserve"> </w:instrText>
      </w:r>
      <w:r>
        <w:rPr>
          <w:rFonts w:hint="eastAsia"/>
        </w:rPr>
        <w:fldChar w:fldCharType="separate"/>
      </w:r>
      <w:r>
        <w:t>9</w:t>
      </w:r>
      <w:r>
        <w:rPr>
          <w:rFonts w:hint="eastAsia"/>
        </w:rPr>
        <w:fldChar w:fldCharType="end"/>
      </w:r>
      <w:r>
        <w:rPr>
          <w:rFonts w:hint="eastAsia"/>
        </w:rPr>
        <w:fldChar w:fldCharType="end"/>
      </w:r>
    </w:p>
    <w:p>
      <w:pPr>
        <w:pStyle w:val="17"/>
        <w:tabs>
          <w:tab w:val="left" w:pos="176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"_Toc202442832" </w:instrText>
      </w:r>
      <w:r>
        <w:fldChar w:fldCharType="separate"/>
      </w:r>
      <w:r>
        <w:rPr>
          <w:rStyle w:val="23"/>
          <w:rFonts w:hint="eastAsia"/>
        </w:rPr>
        <w:t>1.2</w:t>
      </w:r>
      <w:r>
        <w:rPr>
          <w:rFonts w:hint="eastAsia" w:asciiTheme="minorHAnsi" w:hAnsiTheme="minorHAnsi" w:eastAsiaTheme="minorEastAsia" w:cstheme="minorBidi"/>
          <w:sz w:val="22"/>
          <w14:ligatures w14:val="standardContextual"/>
        </w:rPr>
        <w:tab/>
      </w:r>
      <w:r>
        <w:rPr>
          <w:rStyle w:val="23"/>
          <w:rFonts w:hint="eastAsia"/>
        </w:rPr>
        <w:t>项目目标</w:t>
      </w:r>
      <w:r>
        <w:rPr>
          <w:rFonts w:hint="eastAsia"/>
        </w:rPr>
        <w:tab/>
      </w:r>
      <w:r>
        <w:rPr>
          <w:rFonts w:hint="eastAsia"/>
        </w:rPr>
        <w:fldChar w:fldCharType="begin"/>
      </w:r>
      <w:r>
        <w:rPr>
          <w:rFonts w:hint="eastAsia"/>
        </w:rPr>
        <w:instrText xml:space="preserve"> </w:instrText>
      </w:r>
      <w:r>
        <w:instrText xml:space="preserve">PAGEREF _Toc202442832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"_Toc202442833" </w:instrText>
      </w:r>
      <w:r>
        <w:fldChar w:fldCharType="separate"/>
      </w:r>
      <w:r>
        <w:rPr>
          <w:rStyle w:val="23"/>
          <w:rFonts w:hint="eastAsia"/>
        </w:rPr>
        <w:t>1.3项目需求</w:t>
      </w:r>
      <w:r>
        <w:rPr>
          <w:rFonts w:hint="eastAsia"/>
        </w:rPr>
        <w:tab/>
      </w:r>
      <w:r>
        <w:rPr>
          <w:rFonts w:hint="eastAsia"/>
        </w:rPr>
        <w:fldChar w:fldCharType="begin"/>
      </w:r>
      <w:r>
        <w:rPr>
          <w:rFonts w:hint="eastAsia"/>
        </w:rPr>
        <w:instrText xml:space="preserve"> </w:instrText>
      </w:r>
      <w:r>
        <w:instrText xml:space="preserve">PAGEREF _Toc202442833 \h</w:instrText>
      </w:r>
      <w:r>
        <w:rPr>
          <w:rFonts w:hint="eastAsia"/>
        </w:rPr>
        <w:instrText xml:space="preserve"> </w:instrText>
      </w:r>
      <w:r>
        <w:rPr>
          <w:rFonts w:hint="eastAsia"/>
        </w:rPr>
        <w:fldChar w:fldCharType="separate"/>
      </w:r>
      <w:r>
        <w:t>10</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"_Toc202442834" </w:instrText>
      </w:r>
      <w:r>
        <w:fldChar w:fldCharType="separate"/>
      </w:r>
      <w:r>
        <w:rPr>
          <w:rStyle w:val="23"/>
          <w:rFonts w:hint="eastAsia"/>
        </w:rPr>
        <w:t>二 数据采集</w:t>
      </w:r>
      <w:r>
        <w:rPr>
          <w:rFonts w:hint="eastAsia"/>
        </w:rPr>
        <w:tab/>
      </w:r>
      <w:r>
        <w:rPr>
          <w:rFonts w:hint="eastAsia"/>
        </w:rPr>
        <w:fldChar w:fldCharType="begin"/>
      </w:r>
      <w:r>
        <w:rPr>
          <w:rFonts w:hint="eastAsia"/>
        </w:rPr>
        <w:instrText xml:space="preserve"> </w:instrText>
      </w:r>
      <w:r>
        <w:instrText xml:space="preserve">PAGEREF _Toc202442834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"_Toc202442835" </w:instrText>
      </w:r>
      <w:r>
        <w:fldChar w:fldCharType="separate"/>
      </w:r>
      <w:r>
        <w:rPr>
          <w:rStyle w:val="23"/>
          <w:rFonts w:hint="eastAsia"/>
        </w:rPr>
        <w:t>2.1设备互联互通数据推送</w:t>
      </w:r>
      <w:r>
        <w:rPr>
          <w:rFonts w:hint="eastAsia"/>
        </w:rPr>
        <w:tab/>
      </w:r>
      <w:r>
        <w:rPr>
          <w:rFonts w:hint="eastAsia"/>
        </w:rPr>
        <w:fldChar w:fldCharType="begin"/>
      </w:r>
      <w:r>
        <w:rPr>
          <w:rFonts w:hint="eastAsia"/>
        </w:rPr>
        <w:instrText xml:space="preserve"> </w:instrText>
      </w:r>
      <w:r>
        <w:instrText xml:space="preserve">PAGEREF _Toc202442835 \h</w:instrText>
      </w:r>
      <w:r>
        <w:rPr>
          <w:rFonts w:hint="eastAsia"/>
        </w:rPr>
        <w:instrText xml:space="preserve"> </w:instrText>
      </w:r>
      <w:r>
        <w:rPr>
          <w:rFonts w:hint="eastAsia"/>
        </w:rPr>
        <w:fldChar w:fldCharType="separate"/>
      </w:r>
      <w:r>
        <w:t>14</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"_Toc202442836" </w:instrText>
      </w:r>
      <w:r>
        <w:fldChar w:fldCharType="separate"/>
      </w:r>
      <w:r>
        <w:rPr>
          <w:rStyle w:val="23"/>
          <w:rFonts w:hint="eastAsia"/>
        </w:rPr>
        <w:t>三 功能要求</w:t>
      </w:r>
      <w:r>
        <w:rPr>
          <w:rFonts w:hint="eastAsia"/>
        </w:rPr>
        <w:tab/>
      </w:r>
      <w:r>
        <w:rPr>
          <w:rFonts w:hint="eastAsia"/>
        </w:rPr>
        <w:fldChar w:fldCharType="begin"/>
      </w:r>
      <w:r>
        <w:rPr>
          <w:rFonts w:hint="eastAsia"/>
        </w:rPr>
        <w:instrText xml:space="preserve"> </w:instrText>
      </w:r>
      <w:r>
        <w:instrText xml:space="preserve">PAGEREF _Toc202442836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"_Toc202442837" </w:instrText>
      </w:r>
      <w:r>
        <w:fldChar w:fldCharType="separate"/>
      </w:r>
      <w:r>
        <w:rPr>
          <w:rStyle w:val="23"/>
          <w:rFonts w:hint="eastAsia"/>
        </w:rPr>
        <w:t>3.1试验管理</w:t>
      </w:r>
      <w:r>
        <w:rPr>
          <w:rFonts w:hint="eastAsia"/>
        </w:rPr>
        <w:tab/>
      </w:r>
      <w:r>
        <w:rPr>
          <w:rFonts w:hint="eastAsia"/>
        </w:rPr>
        <w:fldChar w:fldCharType="begin"/>
      </w:r>
      <w:r>
        <w:rPr>
          <w:rFonts w:hint="eastAsia"/>
        </w:rPr>
        <w:instrText xml:space="preserve"> </w:instrText>
      </w:r>
      <w:r>
        <w:instrText xml:space="preserve">PAGEREF _Toc202442837 \h</w:instrText>
      </w:r>
      <w:r>
        <w:rPr>
          <w:rFonts w:hint="eastAsia"/>
        </w:rPr>
        <w:instrText xml:space="preserve"> </w:instrText>
      </w:r>
      <w:r>
        <w:rPr>
          <w:rFonts w:hint="eastAsia"/>
        </w:rPr>
        <w:fldChar w:fldCharType="separate"/>
      </w:r>
      <w:r>
        <w:t>16</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"_Toc202442838" </w:instrText>
      </w:r>
      <w:r>
        <w:fldChar w:fldCharType="separate"/>
      </w:r>
      <w:r>
        <w:rPr>
          <w:rStyle w:val="23"/>
          <w:rFonts w:hint="eastAsia"/>
        </w:rPr>
        <w:t>3.2资源管理</w:t>
      </w:r>
      <w:r>
        <w:rPr>
          <w:rFonts w:hint="eastAsia"/>
        </w:rPr>
        <w:tab/>
      </w:r>
      <w:r>
        <w:rPr>
          <w:rFonts w:hint="eastAsia"/>
        </w:rPr>
        <w:fldChar w:fldCharType="begin"/>
      </w:r>
      <w:r>
        <w:rPr>
          <w:rFonts w:hint="eastAsia"/>
        </w:rPr>
        <w:instrText xml:space="preserve"> </w:instrText>
      </w:r>
      <w:r>
        <w:instrText xml:space="preserve">PAGEREF _Toc202442838 \h</w:instrText>
      </w:r>
      <w:r>
        <w:rPr>
          <w:rFonts w:hint="eastAsia"/>
        </w:rPr>
        <w:instrText xml:space="preserve"> </w:instrText>
      </w:r>
      <w:r>
        <w:rPr>
          <w:rFonts w:hint="eastAsia"/>
        </w:rPr>
        <w:fldChar w:fldCharType="separate"/>
      </w:r>
      <w:r>
        <w:t>17</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"_Toc202442839" </w:instrText>
      </w:r>
      <w:r>
        <w:fldChar w:fldCharType="separate"/>
      </w:r>
      <w:r>
        <w:rPr>
          <w:rStyle w:val="23"/>
          <w:rFonts w:hint="eastAsia"/>
        </w:rPr>
        <w:t>3.3突出功能</w:t>
      </w:r>
      <w:r>
        <w:rPr>
          <w:rFonts w:hint="eastAsia"/>
        </w:rPr>
        <w:tab/>
      </w:r>
      <w:r>
        <w:rPr>
          <w:rFonts w:hint="eastAsia"/>
        </w:rPr>
        <w:fldChar w:fldCharType="begin"/>
      </w:r>
      <w:r>
        <w:rPr>
          <w:rFonts w:hint="eastAsia"/>
        </w:rPr>
        <w:instrText xml:space="preserve"> </w:instrText>
      </w:r>
      <w:r>
        <w:instrText xml:space="preserve">PAGEREF _Toc202442839 \h</w:instrText>
      </w:r>
      <w:r>
        <w:rPr>
          <w:rFonts w:hint="eastAsia"/>
        </w:rPr>
        <w:instrText xml:space="preserve"> </w:instrText>
      </w:r>
      <w:r>
        <w:rPr>
          <w:rFonts w:hint="eastAsia"/>
        </w:rPr>
        <w:fldChar w:fldCharType="separate"/>
      </w:r>
      <w:r>
        <w:t>19</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"_Toc202442840" </w:instrText>
      </w:r>
      <w:r>
        <w:fldChar w:fldCharType="separate"/>
      </w:r>
      <w:r>
        <w:rPr>
          <w:rStyle w:val="23"/>
          <w:rFonts w:hint="eastAsia"/>
        </w:rPr>
        <w:t>四 软硬件配置要求</w:t>
      </w:r>
      <w:r>
        <w:rPr>
          <w:rFonts w:hint="eastAsia"/>
        </w:rPr>
        <w:tab/>
      </w:r>
      <w:r>
        <w:rPr>
          <w:rFonts w:hint="eastAsia"/>
        </w:rPr>
        <w:fldChar w:fldCharType="begin"/>
      </w:r>
      <w:r>
        <w:rPr>
          <w:rFonts w:hint="eastAsia"/>
        </w:rPr>
        <w:instrText xml:space="preserve"> </w:instrText>
      </w:r>
      <w:r>
        <w:instrText xml:space="preserve">PAGEREF _Toc202442840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"_Toc202442841" </w:instrText>
      </w:r>
      <w:r>
        <w:fldChar w:fldCharType="separate"/>
      </w:r>
      <w:r>
        <w:rPr>
          <w:rStyle w:val="23"/>
          <w:rFonts w:hint="eastAsia"/>
        </w:rPr>
        <w:t>4.1性能要求</w:t>
      </w:r>
      <w:r>
        <w:rPr>
          <w:rFonts w:hint="eastAsia"/>
        </w:rPr>
        <w:tab/>
      </w:r>
      <w:r>
        <w:rPr>
          <w:rFonts w:hint="eastAsia"/>
        </w:rPr>
        <w:fldChar w:fldCharType="begin"/>
      </w:r>
      <w:r>
        <w:rPr>
          <w:rFonts w:hint="eastAsia"/>
        </w:rPr>
        <w:instrText xml:space="preserve"> </w:instrText>
      </w:r>
      <w:r>
        <w:instrText xml:space="preserve">PAGEREF _Toc202442841 \h</w:instrText>
      </w:r>
      <w:r>
        <w:rPr>
          <w:rFonts w:hint="eastAsia"/>
        </w:rPr>
        <w:instrText xml:space="preserve"> </w:instrText>
      </w:r>
      <w:r>
        <w:rPr>
          <w:rFonts w:hint="eastAsia"/>
        </w:rPr>
        <w:fldChar w:fldCharType="separate"/>
      </w:r>
      <w:r>
        <w:t>20</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"_Toc202442842" </w:instrText>
      </w:r>
      <w:r>
        <w:fldChar w:fldCharType="separate"/>
      </w:r>
      <w:r>
        <w:rPr>
          <w:rStyle w:val="23"/>
          <w:rFonts w:hint="eastAsia"/>
        </w:rPr>
        <w:t>4.2可靠性要求</w:t>
      </w:r>
      <w:r>
        <w:rPr>
          <w:rFonts w:hint="eastAsia"/>
        </w:rPr>
        <w:tab/>
      </w:r>
      <w:r>
        <w:rPr>
          <w:rFonts w:hint="eastAsia"/>
        </w:rPr>
        <w:fldChar w:fldCharType="begin"/>
      </w:r>
      <w:r>
        <w:rPr>
          <w:rFonts w:hint="eastAsia"/>
        </w:rPr>
        <w:instrText xml:space="preserve"> </w:instrText>
      </w:r>
      <w:r>
        <w:instrText xml:space="preserve">PAGEREF _Toc202442842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"_Toc202442843" </w:instrText>
      </w:r>
      <w:r>
        <w:fldChar w:fldCharType="separate"/>
      </w:r>
      <w:r>
        <w:rPr>
          <w:rStyle w:val="23"/>
          <w:rFonts w:hint="eastAsia"/>
        </w:rPr>
        <w:t>4.3可维护性要求</w:t>
      </w:r>
      <w:r>
        <w:rPr>
          <w:rFonts w:hint="eastAsia"/>
        </w:rPr>
        <w:tab/>
      </w:r>
      <w:r>
        <w:rPr>
          <w:rFonts w:hint="eastAsia"/>
        </w:rPr>
        <w:fldChar w:fldCharType="begin"/>
      </w:r>
      <w:r>
        <w:rPr>
          <w:rFonts w:hint="eastAsia"/>
        </w:rPr>
        <w:instrText xml:space="preserve"> </w:instrText>
      </w:r>
      <w:r>
        <w:instrText xml:space="preserve">PAGEREF _Toc202442843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"_Toc202442844" </w:instrText>
      </w:r>
      <w:r>
        <w:fldChar w:fldCharType="separate"/>
      </w:r>
      <w:r>
        <w:rPr>
          <w:rStyle w:val="23"/>
          <w:rFonts w:hint="eastAsia"/>
        </w:rPr>
        <w:t>4.4易用性要求</w:t>
      </w:r>
      <w:r>
        <w:rPr>
          <w:rFonts w:hint="eastAsia"/>
        </w:rPr>
        <w:tab/>
      </w:r>
      <w:r>
        <w:rPr>
          <w:rFonts w:hint="eastAsia"/>
        </w:rPr>
        <w:fldChar w:fldCharType="begin"/>
      </w:r>
      <w:r>
        <w:rPr>
          <w:rFonts w:hint="eastAsia"/>
        </w:rPr>
        <w:instrText xml:space="preserve"> </w:instrText>
      </w:r>
      <w:r>
        <w:instrText xml:space="preserve">PAGEREF _Toc202442844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"_Toc202442845" </w:instrText>
      </w:r>
      <w:r>
        <w:fldChar w:fldCharType="separate"/>
      </w:r>
      <w:r>
        <w:rPr>
          <w:rStyle w:val="23"/>
          <w:rFonts w:hint="eastAsia"/>
        </w:rPr>
        <w:t>4.5安全性要求</w:t>
      </w:r>
      <w:r>
        <w:rPr>
          <w:rFonts w:hint="eastAsia"/>
        </w:rPr>
        <w:tab/>
      </w:r>
      <w:r>
        <w:rPr>
          <w:rFonts w:hint="eastAsia"/>
        </w:rPr>
        <w:fldChar w:fldCharType="begin"/>
      </w:r>
      <w:r>
        <w:rPr>
          <w:rFonts w:hint="eastAsia"/>
        </w:rPr>
        <w:instrText xml:space="preserve"> </w:instrText>
      </w:r>
      <w:r>
        <w:instrText xml:space="preserve">PAGEREF _Toc202442845 \h</w:instrText>
      </w:r>
      <w:r>
        <w:rPr>
          <w:rFonts w:hint="eastAsia"/>
        </w:rPr>
        <w:instrText xml:space="preserve"> </w:instrText>
      </w:r>
      <w:r>
        <w:rPr>
          <w:rFonts w:hint="eastAsia"/>
        </w:rPr>
        <w:fldChar w:fldCharType="separate"/>
      </w:r>
      <w:r>
        <w:t>21</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"_Toc202442846" </w:instrText>
      </w:r>
      <w:r>
        <w:fldChar w:fldCharType="separate"/>
      </w:r>
      <w:r>
        <w:rPr>
          <w:rStyle w:val="23"/>
          <w:rFonts w:hint="eastAsia"/>
        </w:rPr>
        <w:t>4.6技术架构要求</w:t>
      </w:r>
      <w:r>
        <w:rPr>
          <w:rFonts w:hint="eastAsia"/>
        </w:rPr>
        <w:tab/>
      </w:r>
      <w:r>
        <w:rPr>
          <w:rFonts w:hint="eastAsia"/>
        </w:rPr>
        <w:fldChar w:fldCharType="begin"/>
      </w:r>
      <w:r>
        <w:rPr>
          <w:rFonts w:hint="eastAsia"/>
        </w:rPr>
        <w:instrText xml:space="preserve"> </w:instrText>
      </w:r>
      <w:r>
        <w:instrText xml:space="preserve">PAGEREF _Toc202442846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"_Toc202442847" </w:instrText>
      </w:r>
      <w:r>
        <w:fldChar w:fldCharType="separate"/>
      </w:r>
      <w:r>
        <w:rPr>
          <w:rStyle w:val="23"/>
          <w:rFonts w:hint="eastAsia"/>
        </w:rPr>
        <w:t>五 项目时间计划</w:t>
      </w:r>
      <w:r>
        <w:rPr>
          <w:rFonts w:hint="eastAsia"/>
        </w:rPr>
        <w:tab/>
      </w:r>
      <w:r>
        <w:rPr>
          <w:rFonts w:hint="eastAsia"/>
        </w:rPr>
        <w:fldChar w:fldCharType="begin"/>
      </w:r>
      <w:r>
        <w:rPr>
          <w:rFonts w:hint="eastAsia"/>
        </w:rPr>
        <w:instrText xml:space="preserve"> </w:instrText>
      </w:r>
      <w:r>
        <w:instrText xml:space="preserve">PAGEREF _Toc202442847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"_Toc202442848" </w:instrText>
      </w:r>
      <w:r>
        <w:fldChar w:fldCharType="separate"/>
      </w:r>
      <w:r>
        <w:rPr>
          <w:rStyle w:val="23"/>
          <w:rFonts w:hint="eastAsia"/>
        </w:rPr>
        <w:t>5.1数据推送实施计划</w:t>
      </w:r>
      <w:r>
        <w:rPr>
          <w:rFonts w:hint="eastAsia"/>
        </w:rPr>
        <w:tab/>
      </w:r>
      <w:r>
        <w:rPr>
          <w:rFonts w:hint="eastAsia"/>
        </w:rPr>
        <w:fldChar w:fldCharType="begin"/>
      </w:r>
      <w:r>
        <w:rPr>
          <w:rFonts w:hint="eastAsia"/>
        </w:rPr>
        <w:instrText xml:space="preserve"> </w:instrText>
      </w:r>
      <w:r>
        <w:instrText xml:space="preserve">PAGEREF _Toc202442848 \h</w:instrText>
      </w:r>
      <w:r>
        <w:rPr>
          <w:rFonts w:hint="eastAsia"/>
        </w:rPr>
        <w:instrText xml:space="preserve"> </w:instrText>
      </w:r>
      <w:r>
        <w:rPr>
          <w:rFonts w:hint="eastAsia"/>
        </w:rPr>
        <w:fldChar w:fldCharType="separate"/>
      </w:r>
      <w:r>
        <w:t>22</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"_Toc202442849" </w:instrText>
      </w:r>
      <w:r>
        <w:fldChar w:fldCharType="separate"/>
      </w:r>
      <w:r>
        <w:rPr>
          <w:rStyle w:val="23"/>
          <w:rFonts w:hint="eastAsia"/>
        </w:rPr>
        <w:t>六 项目总体要求</w:t>
      </w:r>
      <w:r>
        <w:rPr>
          <w:rFonts w:hint="eastAsia"/>
        </w:rPr>
        <w:tab/>
      </w:r>
      <w:r>
        <w:rPr>
          <w:rFonts w:hint="eastAsia"/>
        </w:rPr>
        <w:fldChar w:fldCharType="begin"/>
      </w:r>
      <w:r>
        <w:rPr>
          <w:rFonts w:hint="eastAsia"/>
        </w:rPr>
        <w:instrText xml:space="preserve"> </w:instrText>
      </w:r>
      <w:r>
        <w:instrText xml:space="preserve">PAGEREF _Toc202442849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"_Toc202442850" </w:instrText>
      </w:r>
      <w:r>
        <w:fldChar w:fldCharType="separate"/>
      </w:r>
      <w:r>
        <w:rPr>
          <w:rStyle w:val="23"/>
          <w:rFonts w:hint="eastAsia"/>
        </w:rPr>
        <w:t>6.1 一般性要求</w:t>
      </w:r>
      <w:r>
        <w:rPr>
          <w:rFonts w:hint="eastAsia"/>
        </w:rPr>
        <w:tab/>
      </w:r>
      <w:r>
        <w:rPr>
          <w:rFonts w:hint="eastAsia"/>
        </w:rPr>
        <w:fldChar w:fldCharType="begin"/>
      </w:r>
      <w:r>
        <w:rPr>
          <w:rFonts w:hint="eastAsia"/>
        </w:rPr>
        <w:instrText xml:space="preserve"> </w:instrText>
      </w:r>
      <w:r>
        <w:instrText xml:space="preserve">PAGEREF _Toc202442850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"_Toc202442851" </w:instrText>
      </w:r>
      <w:r>
        <w:fldChar w:fldCharType="separate"/>
      </w:r>
      <w:r>
        <w:rPr>
          <w:rStyle w:val="23"/>
          <w:rFonts w:hint="eastAsia"/>
        </w:rPr>
        <w:t>6.2项目团队要求</w:t>
      </w:r>
      <w:r>
        <w:rPr>
          <w:rFonts w:hint="eastAsia"/>
        </w:rPr>
        <w:tab/>
      </w:r>
      <w:r>
        <w:rPr>
          <w:rFonts w:hint="eastAsia"/>
        </w:rPr>
        <w:fldChar w:fldCharType="begin"/>
      </w:r>
      <w:r>
        <w:rPr>
          <w:rFonts w:hint="eastAsia"/>
        </w:rPr>
        <w:instrText xml:space="preserve"> </w:instrText>
      </w:r>
      <w:r>
        <w:instrText xml:space="preserve">PAGEREF _Toc202442851 \h</w:instrText>
      </w:r>
      <w:r>
        <w:rPr>
          <w:rFonts w:hint="eastAsia"/>
        </w:rPr>
        <w:instrText xml:space="preserve"> </w:instrText>
      </w:r>
      <w:r>
        <w:rPr>
          <w:rFonts w:hint="eastAsia"/>
        </w:rPr>
        <w:fldChar w:fldCharType="separate"/>
      </w:r>
      <w:r>
        <w:t>23</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"_Toc202442852" </w:instrText>
      </w:r>
      <w:r>
        <w:fldChar w:fldCharType="separate"/>
      </w:r>
      <w:r>
        <w:rPr>
          <w:rStyle w:val="23"/>
          <w:rFonts w:hint="eastAsia"/>
        </w:rPr>
        <w:t>6.3项目进度及版权要求</w:t>
      </w:r>
      <w:r>
        <w:rPr>
          <w:rFonts w:hint="eastAsia"/>
        </w:rPr>
        <w:tab/>
      </w:r>
      <w:r>
        <w:rPr>
          <w:rFonts w:hint="eastAsia"/>
        </w:rPr>
        <w:fldChar w:fldCharType="begin"/>
      </w:r>
      <w:r>
        <w:rPr>
          <w:rFonts w:hint="eastAsia"/>
        </w:rPr>
        <w:instrText xml:space="preserve"> </w:instrText>
      </w:r>
      <w:r>
        <w:instrText xml:space="preserve">PAGEREF _Toc202442852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"_Toc202442853" </w:instrText>
      </w:r>
      <w:r>
        <w:fldChar w:fldCharType="separate"/>
      </w:r>
      <w:r>
        <w:rPr>
          <w:rStyle w:val="23"/>
          <w:rFonts w:hint="eastAsia"/>
        </w:rPr>
        <w:t>6.4 项目交付物</w:t>
      </w:r>
      <w:r>
        <w:rPr>
          <w:rFonts w:hint="eastAsia"/>
        </w:rPr>
        <w:tab/>
      </w:r>
      <w:r>
        <w:rPr>
          <w:rFonts w:hint="eastAsia"/>
        </w:rPr>
        <w:fldChar w:fldCharType="begin"/>
      </w:r>
      <w:r>
        <w:rPr>
          <w:rFonts w:hint="eastAsia"/>
        </w:rPr>
        <w:instrText xml:space="preserve"> </w:instrText>
      </w:r>
      <w:r>
        <w:instrText xml:space="preserve">PAGEREF _Toc202442853 \h</w:instrText>
      </w:r>
      <w:r>
        <w:rPr>
          <w:rFonts w:hint="eastAsia"/>
        </w:rPr>
        <w:instrText xml:space="preserve"> </w:instrText>
      </w:r>
      <w:r>
        <w:rPr>
          <w:rFonts w:hint="eastAsia"/>
        </w:rPr>
        <w:fldChar w:fldCharType="separate"/>
      </w:r>
      <w:r>
        <w:t>24</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"_Toc202442854" </w:instrText>
      </w:r>
      <w:r>
        <w:fldChar w:fldCharType="separate"/>
      </w:r>
      <w:r>
        <w:rPr>
          <w:rStyle w:val="23"/>
          <w:rFonts w:hint="eastAsia"/>
        </w:rPr>
        <w:t>6.5 知识转移</w:t>
      </w:r>
      <w:r>
        <w:rPr>
          <w:rFonts w:hint="eastAsia"/>
        </w:rPr>
        <w:tab/>
      </w:r>
      <w:r>
        <w:rPr>
          <w:rFonts w:hint="eastAsia"/>
        </w:rPr>
        <w:fldChar w:fldCharType="begin"/>
      </w:r>
      <w:r>
        <w:rPr>
          <w:rFonts w:hint="eastAsia"/>
        </w:rPr>
        <w:instrText xml:space="preserve"> </w:instrText>
      </w:r>
      <w:r>
        <w:instrText xml:space="preserve">PAGEREF _Toc202442854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"_Toc202442855" </w:instrText>
      </w:r>
      <w:r>
        <w:fldChar w:fldCharType="separate"/>
      </w:r>
      <w:r>
        <w:rPr>
          <w:rStyle w:val="23"/>
          <w:rFonts w:hint="eastAsia"/>
        </w:rPr>
        <w:t>6.6售后服务</w:t>
      </w:r>
      <w:r>
        <w:rPr>
          <w:rFonts w:hint="eastAsia"/>
        </w:rPr>
        <w:tab/>
      </w:r>
      <w:r>
        <w:rPr>
          <w:rFonts w:hint="eastAsia"/>
        </w:rPr>
        <w:fldChar w:fldCharType="begin"/>
      </w:r>
      <w:r>
        <w:rPr>
          <w:rFonts w:hint="eastAsia"/>
        </w:rPr>
        <w:instrText xml:space="preserve"> </w:instrText>
      </w:r>
      <w:r>
        <w:instrText xml:space="preserve">PAGEREF _Toc202442855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"_Toc202442856" </w:instrText>
      </w:r>
      <w:r>
        <w:fldChar w:fldCharType="separate"/>
      </w:r>
      <w:r>
        <w:rPr>
          <w:rStyle w:val="23"/>
          <w:rFonts w:hint="eastAsia"/>
        </w:rPr>
        <w:t>6.7技术服务要求</w:t>
      </w:r>
      <w:r>
        <w:rPr>
          <w:rFonts w:hint="eastAsia"/>
        </w:rPr>
        <w:tab/>
      </w:r>
      <w:r>
        <w:rPr>
          <w:rFonts w:hint="eastAsia"/>
        </w:rPr>
        <w:fldChar w:fldCharType="begin"/>
      </w:r>
      <w:r>
        <w:rPr>
          <w:rFonts w:hint="eastAsia"/>
        </w:rPr>
        <w:instrText xml:space="preserve"> </w:instrText>
      </w:r>
      <w:r>
        <w:instrText xml:space="preserve">PAGEREF _Toc202442856 \h</w:instrText>
      </w:r>
      <w:r>
        <w:rPr>
          <w:rFonts w:hint="eastAsia"/>
        </w:rPr>
        <w:instrText xml:space="preserve"> </w:instrText>
      </w:r>
      <w:r>
        <w:rPr>
          <w:rFonts w:hint="eastAsia"/>
        </w:rPr>
        <w:fldChar w:fldCharType="separate"/>
      </w:r>
      <w:r>
        <w:t>28</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"_Toc202442857" </w:instrText>
      </w:r>
      <w:r>
        <w:fldChar w:fldCharType="separate"/>
      </w:r>
      <w:r>
        <w:rPr>
          <w:rStyle w:val="23"/>
          <w:rFonts w:hint="eastAsia"/>
        </w:rPr>
        <w:t>七 项目验收</w:t>
      </w:r>
      <w:r>
        <w:rPr>
          <w:rFonts w:hint="eastAsia"/>
        </w:rPr>
        <w:tab/>
      </w:r>
      <w:r>
        <w:rPr>
          <w:rFonts w:hint="eastAsia"/>
        </w:rPr>
        <w:fldChar w:fldCharType="begin"/>
      </w:r>
      <w:r>
        <w:rPr>
          <w:rFonts w:hint="eastAsia"/>
        </w:rPr>
        <w:instrText xml:space="preserve"> </w:instrText>
      </w:r>
      <w:r>
        <w:instrText xml:space="preserve">PAGEREF _Toc202442857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"_Toc202442858" </w:instrText>
      </w:r>
      <w:r>
        <w:fldChar w:fldCharType="separate"/>
      </w:r>
      <w:r>
        <w:rPr>
          <w:rStyle w:val="23"/>
          <w:rFonts w:hint="eastAsia"/>
        </w:rPr>
        <w:t>7.1 项目验收</w:t>
      </w:r>
      <w:r>
        <w:rPr>
          <w:rFonts w:hint="eastAsia"/>
        </w:rPr>
        <w:tab/>
      </w:r>
      <w:r>
        <w:rPr>
          <w:rFonts w:hint="eastAsia"/>
        </w:rPr>
        <w:fldChar w:fldCharType="begin"/>
      </w:r>
      <w:r>
        <w:rPr>
          <w:rFonts w:hint="eastAsia"/>
        </w:rPr>
        <w:instrText xml:space="preserve"> </w:instrText>
      </w:r>
      <w:r>
        <w:instrText xml:space="preserve">PAGEREF _Toc202442858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"_Toc202442859" </w:instrText>
      </w:r>
      <w:r>
        <w:fldChar w:fldCharType="separate"/>
      </w:r>
      <w:r>
        <w:rPr>
          <w:rStyle w:val="23"/>
          <w:rFonts w:hint="eastAsia" w:ascii="宋体" w:hAnsi="宋体" w:cs="宋体"/>
          <w:b/>
          <w:bCs/>
        </w:rPr>
        <w:t>附件一 设备数据采集清单</w:t>
      </w:r>
      <w:r>
        <w:rPr>
          <w:rFonts w:hint="eastAsia"/>
        </w:rPr>
        <w:tab/>
      </w:r>
      <w:r>
        <w:rPr>
          <w:rFonts w:hint="eastAsia"/>
        </w:rPr>
        <w:fldChar w:fldCharType="begin"/>
      </w:r>
      <w:r>
        <w:rPr>
          <w:rFonts w:hint="eastAsia"/>
        </w:rPr>
        <w:instrText xml:space="preserve"> </w:instrText>
      </w:r>
      <w:r>
        <w:instrText xml:space="preserve">PAGEREF _Toc202442859 \h</w:instrText>
      </w:r>
      <w:r>
        <w:rPr>
          <w:rFonts w:hint="eastAsia"/>
        </w:rPr>
        <w:instrText xml:space="preserve"> </w:instrText>
      </w:r>
      <w:r>
        <w:rPr>
          <w:rFonts w:hint="eastAsia"/>
        </w:rPr>
        <w:fldChar w:fldCharType="separate"/>
      </w:r>
      <w:r>
        <w:t>29</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"_Toc202442860" </w:instrText>
      </w:r>
      <w:r>
        <w:fldChar w:fldCharType="separate"/>
      </w:r>
      <w:r>
        <w:rPr>
          <w:rStyle w:val="23"/>
          <w:rFonts w:hint="eastAsia" w:ascii="宋体" w:hAnsi="宋体" w:cs="宋体"/>
          <w:b/>
          <w:bCs/>
        </w:rPr>
        <w:t>附件二 总体功能要求</w:t>
      </w:r>
      <w:r>
        <w:rPr>
          <w:rFonts w:hint="eastAsia"/>
        </w:rPr>
        <w:tab/>
      </w:r>
      <w:r>
        <w:rPr>
          <w:rFonts w:hint="eastAsia"/>
        </w:rPr>
        <w:fldChar w:fldCharType="begin"/>
      </w:r>
      <w:r>
        <w:rPr>
          <w:rFonts w:hint="eastAsia"/>
        </w:rPr>
        <w:instrText xml:space="preserve"> </w:instrText>
      </w:r>
      <w:r>
        <w:instrText xml:space="preserve">PAGEREF _Toc202442860 \h</w:instrText>
      </w:r>
      <w:r>
        <w:rPr>
          <w:rFonts w:hint="eastAsia"/>
        </w:rPr>
        <w:instrText xml:space="preserve"> </w:instrText>
      </w:r>
      <w:r>
        <w:rPr>
          <w:rFonts w:hint="eastAsia"/>
        </w:rPr>
        <w:fldChar w:fldCharType="separate"/>
      </w:r>
      <w:r>
        <w:t>32</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"_Toc202442861" </w:instrText>
      </w:r>
      <w:r>
        <w:fldChar w:fldCharType="separate"/>
      </w:r>
      <w:r>
        <w:rPr>
          <w:rStyle w:val="23"/>
          <w:rFonts w:hint="eastAsia"/>
        </w:rPr>
        <w:t>八 实施计划</w:t>
      </w:r>
      <w:r>
        <w:rPr>
          <w:rFonts w:hint="eastAsia"/>
        </w:rPr>
        <w:tab/>
      </w:r>
      <w:r>
        <w:rPr>
          <w:rFonts w:hint="eastAsia"/>
        </w:rPr>
        <w:fldChar w:fldCharType="begin"/>
      </w:r>
      <w:r>
        <w:rPr>
          <w:rFonts w:hint="eastAsia"/>
        </w:rPr>
        <w:instrText xml:space="preserve"> </w:instrText>
      </w:r>
      <w:r>
        <w:instrText xml:space="preserve">PAGEREF _Toc202442861 \h</w:instrText>
      </w:r>
      <w:r>
        <w:rPr>
          <w:rFonts w:hint="eastAsia"/>
        </w:rPr>
        <w:instrText xml:space="preserve"> </w:instrText>
      </w:r>
      <w:r>
        <w:rPr>
          <w:rFonts w:hint="eastAsia"/>
        </w:rPr>
        <w:fldChar w:fldCharType="separate"/>
      </w:r>
      <w:r>
        <w:t>34</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"_Toc202442862" </w:instrText>
      </w:r>
      <w:r>
        <w:fldChar w:fldCharType="separate"/>
      </w:r>
      <w:r>
        <w:rPr>
          <w:rStyle w:val="23"/>
          <w:rFonts w:hint="eastAsia"/>
        </w:rPr>
        <w:t>九 投标说明</w:t>
      </w:r>
      <w:r>
        <w:rPr>
          <w:rFonts w:hint="eastAsia"/>
        </w:rPr>
        <w:tab/>
      </w:r>
      <w:r>
        <w:rPr>
          <w:rFonts w:hint="eastAsia"/>
        </w:rPr>
        <w:fldChar w:fldCharType="begin"/>
      </w:r>
      <w:r>
        <w:rPr>
          <w:rFonts w:hint="eastAsia"/>
        </w:rPr>
        <w:instrText xml:space="preserve"> </w:instrText>
      </w:r>
      <w:r>
        <w:instrText xml:space="preserve">PAGEREF _Toc202442862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pPr>
        <w:pStyle w:val="17"/>
        <w:tabs>
          <w:tab w:val="right" w:leader="dot" w:pos="9004"/>
        </w:tabs>
        <w:ind w:firstLine="1120" w:firstLineChars="400"/>
        <w:rPr>
          <w:rFonts w:hint="eastAsia" w:asciiTheme="minorHAnsi" w:hAnsiTheme="minorHAnsi" w:eastAsiaTheme="minorEastAsia" w:cstheme="minorBidi"/>
          <w:sz w:val="22"/>
          <w14:ligatures w14:val="standardContextual"/>
        </w:rPr>
      </w:pPr>
      <w:r>
        <w:fldChar w:fldCharType="begin"/>
      </w:r>
      <w:r>
        <w:instrText xml:space="preserve"> HYPERLINK \l "_Toc202442869" </w:instrText>
      </w:r>
      <w:r>
        <w:fldChar w:fldCharType="separate"/>
      </w:r>
      <w:r>
        <w:rPr>
          <w:rStyle w:val="23"/>
          <w:rFonts w:hint="eastAsia" w:ascii="仿宋" w:hAnsi="仿宋"/>
        </w:rPr>
        <w:t>投标须知</w:t>
      </w:r>
      <w:r>
        <w:rPr>
          <w:rFonts w:hint="eastAsia"/>
        </w:rPr>
        <w:tab/>
      </w:r>
      <w:r>
        <w:rPr>
          <w:rFonts w:hint="eastAsia"/>
        </w:rPr>
        <w:fldChar w:fldCharType="begin"/>
      </w:r>
      <w:r>
        <w:rPr>
          <w:rFonts w:hint="eastAsia"/>
        </w:rPr>
        <w:instrText xml:space="preserve"> </w:instrText>
      </w:r>
      <w:r>
        <w:instrText xml:space="preserve">PAGEREF _Toc202442869 \h</w:instrText>
      </w:r>
      <w:r>
        <w:rPr>
          <w:rFonts w:hint="eastAsia"/>
        </w:rPr>
        <w:instrText xml:space="preserve"> </w:instrText>
      </w:r>
      <w:r>
        <w:rPr>
          <w:rFonts w:hint="eastAsia"/>
        </w:rPr>
        <w:fldChar w:fldCharType="separate"/>
      </w:r>
      <w:r>
        <w:t>35</w:t>
      </w:r>
      <w:r>
        <w:rPr>
          <w:rFonts w:hint="eastAsia"/>
        </w:rPr>
        <w:fldChar w:fldCharType="end"/>
      </w:r>
      <w:r>
        <w:rPr>
          <w:rFonts w:hint="eastAsia"/>
        </w:rPr>
        <w:fldChar w:fldCharType="end"/>
      </w:r>
    </w:p>
    <w:p>
      <w:pPr>
        <w:pStyle w:val="17"/>
        <w:tabs>
          <w:tab w:val="left" w:pos="178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"_Toc202442870" </w:instrText>
      </w:r>
      <w:r>
        <w:fldChar w:fldCharType="separate"/>
      </w:r>
      <w:r>
        <w:rPr>
          <w:rStyle w:val="23"/>
          <w:rFonts w:hint="eastAsia" w:ascii="仿宋" w:hAnsi="仿宋"/>
        </w:rPr>
        <w:t>(二)</w:t>
      </w:r>
      <w:r>
        <w:rPr>
          <w:rFonts w:hint="eastAsia" w:asciiTheme="minorHAnsi" w:hAnsiTheme="minorHAnsi" w:eastAsiaTheme="minorEastAsia" w:cstheme="minorBidi"/>
          <w:sz w:val="22"/>
          <w14:ligatures w14:val="standardContextual"/>
        </w:rPr>
        <w:tab/>
      </w:r>
      <w:r>
        <w:rPr>
          <w:rStyle w:val="23"/>
          <w:rFonts w:hint="eastAsia" w:ascii="仿宋" w:hAnsi="仿宋"/>
        </w:rPr>
        <w:t>招投标联系</w:t>
      </w:r>
      <w:r>
        <w:rPr>
          <w:rFonts w:hint="eastAsia"/>
        </w:rPr>
        <w:tab/>
      </w:r>
      <w:r>
        <w:rPr>
          <w:rFonts w:hint="eastAsia"/>
        </w:rPr>
        <w:fldChar w:fldCharType="begin"/>
      </w:r>
      <w:r>
        <w:rPr>
          <w:rFonts w:hint="eastAsia"/>
        </w:rPr>
        <w:instrText xml:space="preserve"> </w:instrText>
      </w:r>
      <w:r>
        <w:instrText xml:space="preserve">PAGEREF _Toc202442870 \h</w:instrText>
      </w:r>
      <w:r>
        <w:rPr>
          <w:rFonts w:hint="eastAsia"/>
        </w:rPr>
        <w:instrText xml:space="preserve"> </w:instrText>
      </w:r>
      <w:r>
        <w:rPr>
          <w:rFonts w:hint="eastAsia"/>
        </w:rPr>
        <w:fldChar w:fldCharType="separate"/>
      </w:r>
      <w:r>
        <w:t>36</w:t>
      </w:r>
      <w:r>
        <w:rPr>
          <w:rFonts w:hint="eastAsia"/>
        </w:rPr>
        <w:fldChar w:fldCharType="end"/>
      </w:r>
      <w:r>
        <w:rPr>
          <w:rFonts w:hint="eastAsia"/>
        </w:rPr>
        <w:fldChar w:fldCharType="end"/>
      </w:r>
    </w:p>
    <w:p>
      <w:pPr>
        <w:pStyle w:val="17"/>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"_Toc202442871" </w:instrText>
      </w:r>
      <w:r>
        <w:fldChar w:fldCharType="separate"/>
      </w:r>
      <w:r>
        <w:rPr>
          <w:rStyle w:val="23"/>
          <w:rFonts w:hint="eastAsia"/>
        </w:rPr>
        <w:t>十 附件</w:t>
      </w:r>
      <w:r>
        <w:rPr>
          <w:rFonts w:hint="eastAsia"/>
        </w:rPr>
        <w:tab/>
      </w:r>
      <w:r>
        <w:rPr>
          <w:rFonts w:hint="eastAsia"/>
        </w:rPr>
        <w:fldChar w:fldCharType="begin"/>
      </w:r>
      <w:r>
        <w:rPr>
          <w:rFonts w:hint="eastAsia"/>
        </w:rPr>
        <w:instrText xml:space="preserve"> </w:instrText>
      </w:r>
      <w:r>
        <w:instrText xml:space="preserve">PAGEREF _Toc202442871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pPr>
        <w:pStyle w:val="15"/>
        <w:tabs>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"_Toc202442872" </w:instrText>
      </w:r>
      <w:r>
        <w:fldChar w:fldCharType="separate"/>
      </w:r>
      <w:r>
        <w:rPr>
          <w:rStyle w:val="23"/>
          <w:rFonts w:hint="eastAsia" w:ascii="仿宋" w:hAnsi="仿宋"/>
        </w:rPr>
        <w:t>附件一《远东IT供应商情况自行申报表》</w:t>
      </w:r>
      <w:r>
        <w:rPr>
          <w:rFonts w:hint="eastAsia"/>
        </w:rPr>
        <w:tab/>
      </w:r>
      <w:r>
        <w:rPr>
          <w:rFonts w:hint="eastAsia"/>
        </w:rPr>
        <w:fldChar w:fldCharType="begin"/>
      </w:r>
      <w:r>
        <w:rPr>
          <w:rFonts w:hint="eastAsia"/>
        </w:rPr>
        <w:instrText xml:space="preserve"> </w:instrText>
      </w:r>
      <w:r>
        <w:instrText xml:space="preserve">PAGEREF _Toc202442872 \h</w:instrText>
      </w:r>
      <w:r>
        <w:rPr>
          <w:rFonts w:hint="eastAsia"/>
        </w:rPr>
        <w:instrText xml:space="preserve"> </w:instrText>
      </w:r>
      <w:r>
        <w:rPr>
          <w:rFonts w:hint="eastAsia"/>
        </w:rPr>
        <w:fldChar w:fldCharType="separate"/>
      </w:r>
      <w:r>
        <w:t>38</w:t>
      </w:r>
      <w:r>
        <w:rPr>
          <w:rFonts w:hint="eastAsia"/>
        </w:rPr>
        <w:fldChar w:fldCharType="end"/>
      </w:r>
      <w:r>
        <w:rPr>
          <w:rFonts w:hint="eastAsia"/>
        </w:rPr>
        <w:fldChar w:fldCharType="end"/>
      </w:r>
    </w:p>
    <w:p>
      <w:pPr>
        <w:pStyle w:val="17"/>
        <w:tabs>
          <w:tab w:val="left" w:pos="178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"_Toc202442873" </w:instrText>
      </w:r>
      <w:r>
        <w:fldChar w:fldCharType="separate"/>
      </w:r>
      <w:r>
        <w:rPr>
          <w:rStyle w:val="23"/>
          <w:rFonts w:hint="eastAsia" w:ascii="仿宋" w:hAnsi="仿宋"/>
        </w:rPr>
        <w:t>一、</w:t>
      </w:r>
      <w:r>
        <w:rPr>
          <w:rFonts w:hint="eastAsia" w:asciiTheme="minorHAnsi" w:hAnsiTheme="minorHAnsi" w:eastAsiaTheme="minorEastAsia" w:cstheme="minorBidi"/>
          <w:sz w:val="22"/>
          <w14:ligatures w14:val="standardContextual"/>
        </w:rPr>
        <w:tab/>
      </w:r>
      <w:r>
        <w:rPr>
          <w:rStyle w:val="23"/>
          <w:rFonts w:hint="eastAsia" w:ascii="仿宋" w:hAnsi="仿宋"/>
        </w:rPr>
        <w:t>商务偏差表</w:t>
      </w:r>
      <w:r>
        <w:rPr>
          <w:rFonts w:hint="eastAsia"/>
        </w:rPr>
        <w:tab/>
      </w:r>
      <w:r>
        <w:rPr>
          <w:rFonts w:hint="eastAsia"/>
        </w:rPr>
        <w:fldChar w:fldCharType="begin"/>
      </w:r>
      <w:r>
        <w:rPr>
          <w:rFonts w:hint="eastAsia"/>
        </w:rPr>
        <w:instrText xml:space="preserve"> </w:instrText>
      </w:r>
      <w:r>
        <w:instrText xml:space="preserve">PAGEREF _Toc202442873 \h</w:instrText>
      </w:r>
      <w:r>
        <w:rPr>
          <w:rFonts w:hint="eastAsia"/>
        </w:rPr>
        <w:instrText xml:space="preserve"> </w:instrText>
      </w:r>
      <w:r>
        <w:rPr>
          <w:rFonts w:hint="eastAsia"/>
        </w:rPr>
        <w:fldChar w:fldCharType="separate"/>
      </w:r>
      <w:r>
        <w:t>39</w:t>
      </w:r>
      <w:r>
        <w:rPr>
          <w:rFonts w:hint="eastAsia"/>
        </w:rPr>
        <w:fldChar w:fldCharType="end"/>
      </w:r>
      <w:r>
        <w:rPr>
          <w:rFonts w:hint="eastAsia"/>
        </w:rPr>
        <w:fldChar w:fldCharType="end"/>
      </w:r>
    </w:p>
    <w:p>
      <w:pPr>
        <w:pStyle w:val="17"/>
        <w:tabs>
          <w:tab w:val="left" w:pos="178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"_Toc202442874" </w:instrText>
      </w:r>
      <w:r>
        <w:fldChar w:fldCharType="separate"/>
      </w:r>
      <w:r>
        <w:rPr>
          <w:rStyle w:val="23"/>
          <w:rFonts w:hint="eastAsia" w:ascii="仿宋" w:hAnsi="仿宋"/>
        </w:rPr>
        <w:t>二、</w:t>
      </w:r>
      <w:r>
        <w:rPr>
          <w:rFonts w:hint="eastAsia" w:asciiTheme="minorHAnsi" w:hAnsiTheme="minorHAnsi" w:eastAsiaTheme="minorEastAsia" w:cstheme="minorBidi"/>
          <w:sz w:val="22"/>
          <w14:ligatures w14:val="standardContextual"/>
        </w:rPr>
        <w:tab/>
      </w:r>
      <w:r>
        <w:rPr>
          <w:rStyle w:val="23"/>
          <w:rFonts w:hint="eastAsia" w:ascii="仿宋" w:hAnsi="仿宋"/>
        </w:rPr>
        <w:t>法定代表人身份证明格式</w:t>
      </w:r>
      <w:r>
        <w:rPr>
          <w:rFonts w:hint="eastAsia"/>
        </w:rPr>
        <w:tab/>
      </w:r>
      <w:r>
        <w:rPr>
          <w:rFonts w:hint="eastAsia"/>
        </w:rPr>
        <w:fldChar w:fldCharType="begin"/>
      </w:r>
      <w:r>
        <w:rPr>
          <w:rFonts w:hint="eastAsia"/>
        </w:rPr>
        <w:instrText xml:space="preserve"> </w:instrText>
      </w:r>
      <w:r>
        <w:instrText xml:space="preserve">PAGEREF _Toc202442874 \h</w:instrText>
      </w:r>
      <w:r>
        <w:rPr>
          <w:rFonts w:hint="eastAsia"/>
        </w:rPr>
        <w:instrText xml:space="preserve"> </w:instrText>
      </w:r>
      <w:r>
        <w:rPr>
          <w:rFonts w:hint="eastAsia"/>
        </w:rPr>
        <w:fldChar w:fldCharType="separate"/>
      </w:r>
      <w:r>
        <w:t>40</w:t>
      </w:r>
      <w:r>
        <w:rPr>
          <w:rFonts w:hint="eastAsia"/>
        </w:rPr>
        <w:fldChar w:fldCharType="end"/>
      </w:r>
      <w:r>
        <w:rPr>
          <w:rFonts w:hint="eastAsia"/>
        </w:rPr>
        <w:fldChar w:fldCharType="end"/>
      </w:r>
    </w:p>
    <w:p>
      <w:pPr>
        <w:pStyle w:val="17"/>
        <w:tabs>
          <w:tab w:val="left" w:pos="1780"/>
          <w:tab w:val="right" w:leader="dot" w:pos="9004"/>
        </w:tabs>
        <w:ind w:firstLine="560"/>
        <w:rPr>
          <w:rFonts w:hint="eastAsia" w:asciiTheme="minorHAnsi" w:hAnsiTheme="minorHAnsi" w:eastAsiaTheme="minorEastAsia" w:cstheme="minorBidi"/>
          <w:sz w:val="22"/>
          <w14:ligatures w14:val="standardContextual"/>
        </w:rPr>
      </w:pPr>
      <w:r>
        <w:fldChar w:fldCharType="begin"/>
      </w:r>
      <w:r>
        <w:instrText xml:space="preserve"> HYPERLINK \l "_Toc202442875" </w:instrText>
      </w:r>
      <w:r>
        <w:fldChar w:fldCharType="separate"/>
      </w:r>
      <w:r>
        <w:rPr>
          <w:rStyle w:val="23"/>
          <w:rFonts w:hint="eastAsia" w:ascii="仿宋" w:hAnsi="仿宋"/>
        </w:rPr>
        <w:t>三、</w:t>
      </w:r>
      <w:r>
        <w:rPr>
          <w:rFonts w:hint="eastAsia" w:asciiTheme="minorHAnsi" w:hAnsiTheme="minorHAnsi" w:eastAsiaTheme="minorEastAsia" w:cstheme="minorBidi"/>
          <w:sz w:val="22"/>
          <w14:ligatures w14:val="standardContextual"/>
        </w:rPr>
        <w:tab/>
      </w:r>
      <w:r>
        <w:rPr>
          <w:rStyle w:val="23"/>
          <w:rFonts w:hint="eastAsia" w:ascii="仿宋" w:hAnsi="仿宋"/>
        </w:rPr>
        <w:t>授权委托书格式</w:t>
      </w:r>
      <w:r>
        <w:rPr>
          <w:rFonts w:hint="eastAsia"/>
        </w:rPr>
        <w:tab/>
      </w:r>
      <w:r>
        <w:rPr>
          <w:rFonts w:hint="eastAsia"/>
        </w:rPr>
        <w:fldChar w:fldCharType="begin"/>
      </w:r>
      <w:r>
        <w:rPr>
          <w:rFonts w:hint="eastAsia"/>
        </w:rPr>
        <w:instrText xml:space="preserve"> </w:instrText>
      </w:r>
      <w:r>
        <w:instrText xml:space="preserve">PAGEREF _Toc202442875 \h</w:instrText>
      </w:r>
      <w:r>
        <w:rPr>
          <w:rFonts w:hint="eastAsia"/>
        </w:rPr>
        <w:instrText xml:space="preserve"> </w:instrText>
      </w:r>
      <w:r>
        <w:rPr>
          <w:rFonts w:hint="eastAsia"/>
        </w:rPr>
        <w:fldChar w:fldCharType="separate"/>
      </w:r>
      <w:r>
        <w:t>41</w:t>
      </w:r>
      <w:r>
        <w:rPr>
          <w:rFonts w:hint="eastAsia"/>
        </w:rPr>
        <w:fldChar w:fldCharType="end"/>
      </w:r>
      <w:r>
        <w:rPr>
          <w:rFonts w:hint="eastAsia"/>
        </w:rPr>
        <w:fldChar w:fldCharType="end"/>
      </w:r>
    </w:p>
    <w:p>
      <w:pPr>
        <w:pStyle w:val="17"/>
        <w:tabs>
          <w:tab w:val="left" w:pos="1780"/>
          <w:tab w:val="right" w:leader="dot" w:pos="9004"/>
        </w:tabs>
        <w:ind w:firstLine="560"/>
        <w:rPr>
          <w:rStyle w:val="23"/>
        </w:rPr>
      </w:pPr>
      <w:r>
        <w:fldChar w:fldCharType="begin"/>
      </w:r>
      <w:r>
        <w:instrText xml:space="preserve"> HYPERLINK \l "_Toc202442876" </w:instrText>
      </w:r>
      <w:r>
        <w:fldChar w:fldCharType="separate"/>
      </w:r>
      <w:r>
        <w:rPr>
          <w:rStyle w:val="23"/>
          <w:rFonts w:hint="eastAsia" w:ascii="仿宋" w:hAnsi="仿宋"/>
        </w:rPr>
        <w:t>四、</w:t>
      </w:r>
      <w:r>
        <w:rPr>
          <w:rFonts w:hint="eastAsia" w:asciiTheme="minorHAnsi" w:hAnsiTheme="minorHAnsi" w:eastAsiaTheme="minorEastAsia" w:cstheme="minorBidi"/>
          <w:sz w:val="22"/>
          <w14:ligatures w14:val="standardContextual"/>
        </w:rPr>
        <w:tab/>
      </w:r>
      <w:r>
        <w:rPr>
          <w:rStyle w:val="23"/>
          <w:rFonts w:hint="eastAsia" w:ascii="仿宋" w:hAnsi="仿宋"/>
        </w:rPr>
        <w:t>廉政协议</w:t>
      </w:r>
      <w:r>
        <w:rPr>
          <w:rFonts w:hint="eastAsia"/>
        </w:rPr>
        <w:tab/>
      </w:r>
      <w:r>
        <w:rPr>
          <w:rFonts w:hint="eastAsia"/>
        </w:rPr>
        <w:fldChar w:fldCharType="begin"/>
      </w:r>
      <w:r>
        <w:rPr>
          <w:rFonts w:hint="eastAsia"/>
        </w:rPr>
        <w:instrText xml:space="preserve"> </w:instrText>
      </w:r>
      <w:r>
        <w:instrText xml:space="preserve">PAGEREF _Toc202442876 \h</w:instrText>
      </w:r>
      <w:r>
        <w:rPr>
          <w:rFonts w:hint="eastAsia"/>
        </w:rPr>
        <w:instrText xml:space="preserve"> </w:instrText>
      </w:r>
      <w:r>
        <w:rPr>
          <w:rFonts w:hint="eastAsia"/>
        </w:rPr>
        <w:fldChar w:fldCharType="separate"/>
      </w:r>
      <w:r>
        <w:t>42</w:t>
      </w:r>
      <w:r>
        <w:rPr>
          <w:rFonts w:hint="eastAsia"/>
        </w:rPr>
        <w:fldChar w:fldCharType="end"/>
      </w:r>
      <w:r>
        <w:rPr>
          <w:rFonts w:hint="eastAsia"/>
        </w:rPr>
        <w:fldChar w:fldCharType="end"/>
      </w:r>
    </w:p>
    <w:p/>
    <w:p/>
    <w:p/>
    <w:p/>
    <w:p/>
    <w:p/>
    <w:p/>
    <w:p/>
    <w:p/>
    <w:p/>
    <w:p/>
    <w:p/>
    <w:p/>
    <w:p/>
    <w:p/>
    <w:p/>
    <w:p/>
    <w:p/>
    <w:p/>
    <w:p/>
    <w:p/>
    <w:p/>
    <w:p/>
    <w:p/>
    <w:p/>
    <w:p/>
    <w:p/>
    <w:p/>
    <w:p/>
    <w:p/>
    <w:p/>
    <w:p/>
    <w:p/>
    <w:p/>
    <w:p/>
    <w:p/>
    <w:p/>
    <w:p/>
    <w:p/>
    <w:p>
      <w:pPr>
        <w:pStyle w:val="2"/>
        <w:spacing w:before="0" w:after="0" w:line="500" w:lineRule="exact"/>
      </w:pPr>
      <w:r>
        <w:rPr>
          <w:rFonts w:ascii="仿宋" w:hAnsi="仿宋"/>
          <w:sz w:val="24"/>
          <w:lang w:val="zh-CN"/>
        </w:rPr>
        <w:fldChar w:fldCharType="end"/>
      </w:r>
      <w:bookmarkStart w:id="1" w:name="_Toc202442808"/>
      <w:r>
        <w:rPr>
          <w:rFonts w:hint="eastAsia"/>
        </w:rPr>
        <w:t>第一部分 投标邀请</w:t>
      </w:r>
      <w:bookmarkEnd w:id="1"/>
    </w:p>
    <w:p>
      <w:pPr>
        <w:snapToGrid w:val="0"/>
        <w:spacing w:line="500" w:lineRule="exact"/>
        <w:ind w:firstLine="560"/>
        <w:rPr>
          <w:rFonts w:hint="eastAsia" w:ascii="仿宋" w:hAnsi="仿宋"/>
          <w:szCs w:val="28"/>
        </w:rPr>
      </w:pPr>
      <w:r>
        <w:rPr>
          <w:rFonts w:hint="eastAsia" w:ascii="仿宋" w:hAnsi="仿宋"/>
          <w:szCs w:val="28"/>
          <w:u w:val="single"/>
        </w:rPr>
        <w:t>远东海缆有限公司</w:t>
      </w:r>
      <w:r>
        <w:rPr>
          <w:rFonts w:hint="eastAsia" w:ascii="仿宋" w:hAnsi="仿宋"/>
          <w:szCs w:val="28"/>
        </w:rPr>
        <w:t>就</w:t>
      </w:r>
      <w:r>
        <w:rPr>
          <w:rFonts w:ascii="仿宋" w:hAnsi="仿宋"/>
          <w:b/>
          <w:szCs w:val="28"/>
          <w:u w:val="single"/>
        </w:rPr>
        <w:t>远东海缆实验室检量测设备数字化系统项目</w:t>
      </w:r>
      <w:r>
        <w:rPr>
          <w:rFonts w:hint="eastAsia" w:ascii="仿宋" w:hAnsi="仿宋"/>
          <w:szCs w:val="28"/>
        </w:rPr>
        <w:t>进行邀请招标，现诚挚邀请行业有资质的供应商参与本项目的投标，并请按本招标文件的规定要求准备投标文件。</w:t>
      </w:r>
    </w:p>
    <w:p>
      <w:pPr>
        <w:numPr>
          <w:ilvl w:val="0"/>
          <w:numId w:val="2"/>
        </w:numPr>
        <w:spacing w:line="500" w:lineRule="exact"/>
        <w:ind w:firstLine="560"/>
        <w:rPr>
          <w:rFonts w:hint="eastAsia" w:ascii="仿宋" w:hAnsi="仿宋"/>
          <w:szCs w:val="28"/>
          <w:u w:val="single"/>
        </w:rPr>
      </w:pPr>
      <w:r>
        <w:rPr>
          <w:rFonts w:hint="eastAsia" w:ascii="仿宋" w:hAnsi="仿宋"/>
          <w:szCs w:val="28"/>
        </w:rPr>
        <w:t>项目名称：</w:t>
      </w:r>
      <w:r>
        <w:rPr>
          <w:rFonts w:ascii="仿宋" w:hAnsi="仿宋"/>
          <w:b/>
          <w:szCs w:val="28"/>
          <w:u w:val="single"/>
        </w:rPr>
        <w:t>远东海缆实验室检量测设备数字化系统项目</w:t>
      </w:r>
    </w:p>
    <w:p>
      <w:pPr>
        <w:numPr>
          <w:ilvl w:val="0"/>
          <w:numId w:val="2"/>
        </w:numPr>
        <w:snapToGrid w:val="0"/>
        <w:spacing w:line="500" w:lineRule="exact"/>
        <w:ind w:firstLine="420" w:firstLineChars="200"/>
        <w:rPr>
          <w:rFonts w:hint="eastAsia" w:ascii="仿宋" w:hAnsi="仿宋"/>
          <w:szCs w:val="28"/>
          <w:u w:val="single"/>
        </w:rPr>
      </w:pPr>
      <w:r>
        <w:rPr>
          <w:rFonts w:hint="eastAsia" w:ascii="仿宋" w:hAnsi="仿宋"/>
          <w:szCs w:val="28"/>
        </w:rPr>
        <w:t>招标内容：（详见第三部分项目需求）</w:t>
      </w:r>
    </w:p>
    <w:p>
      <w:pPr>
        <w:numPr>
          <w:ilvl w:val="0"/>
          <w:numId w:val="2"/>
        </w:numPr>
        <w:snapToGrid w:val="0"/>
        <w:spacing w:line="500" w:lineRule="exact"/>
        <w:ind w:firstLine="420" w:firstLineChars="200"/>
        <w:rPr>
          <w:rFonts w:hint="eastAsia" w:ascii="仿宋" w:hAnsi="仿宋"/>
          <w:szCs w:val="28"/>
          <w:u w:val="single"/>
        </w:rPr>
      </w:pPr>
      <w:r>
        <w:rPr>
          <w:rFonts w:hint="eastAsia" w:ascii="仿宋" w:hAnsi="仿宋"/>
          <w:szCs w:val="28"/>
        </w:rPr>
        <w:t>递交投标文件截止时间：</w:t>
      </w:r>
      <w:r>
        <w:rPr>
          <w:rFonts w:hint="eastAsia" w:ascii="仿宋" w:hAnsi="仿宋"/>
          <w:szCs w:val="28"/>
          <w:u w:val="single"/>
        </w:rPr>
        <w:t>20</w:t>
      </w:r>
      <w:r>
        <w:rPr>
          <w:rFonts w:ascii="仿宋" w:hAnsi="仿宋"/>
          <w:szCs w:val="28"/>
          <w:u w:val="single"/>
        </w:rPr>
        <w:t>2</w:t>
      </w:r>
      <w:r>
        <w:rPr>
          <w:rFonts w:hint="eastAsia" w:ascii="仿宋" w:hAnsi="仿宋"/>
          <w:szCs w:val="28"/>
          <w:u w:val="single"/>
        </w:rPr>
        <w:t>5年7月18日17：00</w:t>
      </w:r>
      <w:r>
        <w:rPr>
          <w:rFonts w:ascii="仿宋" w:hAnsi="仿宋"/>
          <w:szCs w:val="28"/>
          <w:u w:val="single"/>
        </w:rPr>
        <w:t>前</w:t>
      </w:r>
    </w:p>
    <w:p>
      <w:pPr>
        <w:numPr>
          <w:ilvl w:val="0"/>
          <w:numId w:val="2"/>
        </w:numPr>
        <w:snapToGrid w:val="0"/>
        <w:spacing w:line="500" w:lineRule="exact"/>
        <w:ind w:firstLine="420" w:firstLineChars="200"/>
        <w:rPr>
          <w:rFonts w:hint="eastAsia" w:ascii="仿宋" w:hAnsi="仿宋"/>
          <w:szCs w:val="28"/>
          <w:u w:val="single"/>
        </w:rPr>
      </w:pPr>
      <w:r>
        <w:rPr>
          <w:rFonts w:hint="eastAsia" w:ascii="仿宋" w:hAnsi="仿宋"/>
          <w:szCs w:val="28"/>
        </w:rPr>
        <w:t>开标地点：</w:t>
      </w:r>
      <w:r>
        <w:rPr>
          <w:rFonts w:hint="eastAsia" w:ascii="仿宋" w:hAnsi="仿宋"/>
          <w:szCs w:val="28"/>
          <w:u w:val="single"/>
        </w:rPr>
        <w:t>远东电缆有限公司</w:t>
      </w:r>
    </w:p>
    <w:p>
      <w:pPr>
        <w:numPr>
          <w:ilvl w:val="0"/>
          <w:numId w:val="2"/>
        </w:numPr>
        <w:snapToGrid w:val="0"/>
        <w:spacing w:line="500" w:lineRule="exact"/>
        <w:ind w:firstLine="420" w:firstLineChars="200"/>
        <w:rPr>
          <w:rFonts w:hint="eastAsia" w:ascii="仿宋" w:hAnsi="仿宋"/>
          <w:szCs w:val="28"/>
        </w:rPr>
      </w:pPr>
      <w:r>
        <w:rPr>
          <w:rFonts w:hint="eastAsia" w:ascii="仿宋" w:hAnsi="仿宋"/>
          <w:szCs w:val="28"/>
        </w:rPr>
        <w:t>招标联系人：</w:t>
      </w:r>
    </w:p>
    <w:p>
      <w:pPr>
        <w:spacing w:line="500" w:lineRule="exact"/>
        <w:ind w:firstLine="840" w:firstLineChars="400"/>
        <w:rPr>
          <w:rFonts w:hint="eastAsia" w:ascii="仿宋" w:hAnsi="仿宋"/>
          <w:szCs w:val="28"/>
        </w:rPr>
      </w:pPr>
      <w:r>
        <w:rPr>
          <w:rFonts w:hint="eastAsia" w:ascii="仿宋" w:hAnsi="仿宋"/>
          <w:szCs w:val="28"/>
        </w:rPr>
        <w:t xml:space="preserve">商务联系人：叶 思 盈 </w:t>
      </w:r>
      <w:r>
        <w:rPr>
          <w:rFonts w:hint="eastAsia" w:ascii="仿宋" w:hAnsi="仿宋"/>
          <w:szCs w:val="28"/>
        </w:rPr>
        <w:tab/>
      </w:r>
      <w:r>
        <w:rPr>
          <w:rFonts w:hint="eastAsia" w:ascii="仿宋" w:hAnsi="仿宋"/>
          <w:szCs w:val="28"/>
        </w:rPr>
        <w:t>联系电话：18861775003</w:t>
      </w:r>
    </w:p>
    <w:p>
      <w:pPr>
        <w:spacing w:line="500" w:lineRule="exact"/>
        <w:ind w:firstLine="840" w:firstLineChars="400"/>
        <w:rPr>
          <w:rFonts w:hint="eastAsia" w:ascii="仿宋" w:hAnsi="仿宋"/>
          <w:szCs w:val="28"/>
        </w:rPr>
      </w:pPr>
      <w:r>
        <w:rPr>
          <w:rFonts w:hint="eastAsia" w:ascii="仿宋" w:hAnsi="仿宋"/>
          <w:szCs w:val="28"/>
        </w:rPr>
        <w:t>电子邮件：</w:t>
      </w:r>
      <w:r>
        <w:rPr>
          <w:rFonts w:ascii="仿宋" w:hAnsi="仿宋"/>
          <w:szCs w:val="28"/>
        </w:rPr>
        <w:t>076194@600869.com</w:t>
      </w:r>
    </w:p>
    <w:p>
      <w:pPr>
        <w:spacing w:line="500" w:lineRule="exact"/>
        <w:ind w:firstLine="840" w:firstLineChars="400"/>
        <w:rPr>
          <w:rFonts w:hint="eastAsia" w:ascii="仿宋" w:hAnsi="仿宋"/>
          <w:szCs w:val="28"/>
        </w:rPr>
      </w:pPr>
      <w:r>
        <w:rPr>
          <w:rFonts w:hint="eastAsia" w:ascii="仿宋" w:hAnsi="仿宋"/>
          <w:szCs w:val="28"/>
        </w:rPr>
        <w:t>地    址：江苏省宜兴市高塍镇范道远东大道8号一楼采供服务部107</w:t>
      </w:r>
    </w:p>
    <w:p>
      <w:pPr>
        <w:spacing w:line="500" w:lineRule="exact"/>
        <w:ind w:firstLine="840" w:firstLineChars="400"/>
        <w:rPr>
          <w:rFonts w:hint="eastAsia" w:ascii="仿宋" w:hAnsi="仿宋"/>
          <w:szCs w:val="28"/>
        </w:rPr>
      </w:pPr>
      <w:r>
        <w:rPr>
          <w:rFonts w:hint="eastAsia" w:ascii="仿宋" w:hAnsi="仿宋"/>
          <w:szCs w:val="28"/>
        </w:rPr>
        <w:t>技术联系人：张 辉 联系电话：</w:t>
      </w:r>
      <w:r>
        <w:rPr>
          <w:rFonts w:ascii="仿宋" w:hAnsi="仿宋"/>
          <w:szCs w:val="28"/>
        </w:rPr>
        <w:t>18652092339</w:t>
      </w:r>
    </w:p>
    <w:p>
      <w:pPr>
        <w:spacing w:line="500" w:lineRule="exact"/>
        <w:ind w:firstLine="840" w:firstLineChars="400"/>
        <w:rPr>
          <w:rFonts w:hint="eastAsia" w:ascii="仿宋" w:hAnsi="仿宋"/>
          <w:szCs w:val="28"/>
        </w:rPr>
      </w:pPr>
      <w:r>
        <w:rPr>
          <w:rFonts w:hint="eastAsia" w:ascii="仿宋" w:hAnsi="仿宋"/>
          <w:szCs w:val="28"/>
        </w:rPr>
        <w:t>电子邮件：</w:t>
      </w:r>
      <w:r>
        <w:rPr>
          <w:rFonts w:ascii="仿宋" w:hAnsi="仿宋"/>
          <w:szCs w:val="28"/>
        </w:rPr>
        <w:t>072605@600869.com</w:t>
      </w:r>
      <w:r>
        <w:rPr>
          <w:rFonts w:hint="eastAsia" w:ascii="仿宋" w:hAnsi="仿宋"/>
          <w:szCs w:val="28"/>
        </w:rPr>
        <w:t xml:space="preserve"> </w:t>
      </w:r>
    </w:p>
    <w:p>
      <w:pPr>
        <w:spacing w:line="500" w:lineRule="exact"/>
        <w:ind w:firstLine="840" w:firstLineChars="400"/>
        <w:rPr>
          <w:rFonts w:ascii="仿宋" w:hAnsi="仿宋"/>
          <w:szCs w:val="28"/>
        </w:rPr>
      </w:pPr>
      <w:r>
        <w:rPr>
          <w:rFonts w:hint="eastAsia" w:ascii="仿宋" w:hAnsi="仿宋"/>
          <w:szCs w:val="28"/>
        </w:rPr>
        <w:t>地    址：江苏省宜兴市高塍镇科技大道8号远东电池江苏有限公司电池5楼制造数智部</w:t>
      </w:r>
    </w:p>
    <w:p>
      <w:pPr>
        <w:spacing w:line="500" w:lineRule="exact"/>
        <w:ind w:firstLine="840" w:firstLineChars="400"/>
        <w:rPr>
          <w:rFonts w:ascii="仿宋" w:hAnsi="仿宋"/>
          <w:szCs w:val="28"/>
        </w:rPr>
      </w:pPr>
      <w:r>
        <w:rPr>
          <w:rFonts w:hint="eastAsia" w:ascii="仿宋" w:hAnsi="仿宋"/>
          <w:szCs w:val="28"/>
        </w:rPr>
        <w:t>项目联系人：张春美      联系电话：18861779087</w:t>
      </w:r>
    </w:p>
    <w:p>
      <w:pPr>
        <w:spacing w:line="500" w:lineRule="exact"/>
        <w:ind w:firstLine="840" w:firstLineChars="400"/>
        <w:rPr>
          <w:rFonts w:hint="eastAsia" w:ascii="仿宋" w:hAnsi="仿宋"/>
          <w:szCs w:val="28"/>
        </w:rPr>
      </w:pPr>
      <w:r>
        <w:rPr>
          <w:rFonts w:hint="eastAsia" w:ascii="仿宋" w:hAnsi="仿宋"/>
          <w:szCs w:val="28"/>
        </w:rPr>
        <w:t>电子邮箱：050722@600869.com</w:t>
      </w:r>
    </w:p>
    <w:p>
      <w:pPr>
        <w:spacing w:line="500" w:lineRule="exact"/>
        <w:ind w:firstLine="840" w:firstLineChars="400"/>
        <w:rPr>
          <w:rFonts w:hint="eastAsia" w:ascii="仿宋" w:hAnsi="仿宋"/>
          <w:szCs w:val="28"/>
        </w:rPr>
      </w:pPr>
      <w:r>
        <w:rPr>
          <w:rFonts w:hint="eastAsia" w:ascii="仿宋" w:hAnsi="仿宋"/>
          <w:szCs w:val="28"/>
        </w:rPr>
        <w:t>地址：江苏省南通市如东县长沙镇远东路9号远东海缆有限公司3楼质量服务部</w:t>
      </w:r>
    </w:p>
    <w:p>
      <w:pPr>
        <w:snapToGrid w:val="0"/>
        <w:spacing w:line="500" w:lineRule="exact"/>
        <w:ind w:right="840"/>
        <w:rPr>
          <w:rFonts w:ascii="仿宋" w:hAnsi="仿宋"/>
          <w:color w:val="000000"/>
          <w:szCs w:val="28"/>
        </w:rPr>
      </w:pPr>
    </w:p>
    <w:p>
      <w:pPr>
        <w:snapToGrid w:val="0"/>
        <w:spacing w:line="500" w:lineRule="exact"/>
        <w:ind w:right="840"/>
        <w:rPr>
          <w:rFonts w:ascii="仿宋" w:hAnsi="仿宋"/>
          <w:color w:val="000000"/>
          <w:szCs w:val="28"/>
        </w:rPr>
      </w:pPr>
    </w:p>
    <w:p>
      <w:pPr>
        <w:snapToGrid w:val="0"/>
        <w:spacing w:line="500" w:lineRule="exact"/>
        <w:ind w:right="840"/>
        <w:rPr>
          <w:rFonts w:ascii="仿宋" w:hAnsi="仿宋"/>
          <w:color w:val="000000"/>
          <w:szCs w:val="28"/>
        </w:rPr>
      </w:pPr>
    </w:p>
    <w:p>
      <w:pPr>
        <w:snapToGrid w:val="0"/>
        <w:spacing w:line="500" w:lineRule="exact"/>
        <w:ind w:right="840"/>
        <w:rPr>
          <w:rFonts w:ascii="仿宋" w:hAnsi="仿宋"/>
          <w:color w:val="000000"/>
          <w:szCs w:val="28"/>
        </w:rPr>
      </w:pPr>
    </w:p>
    <w:p>
      <w:pPr>
        <w:snapToGrid w:val="0"/>
        <w:spacing w:line="500" w:lineRule="exact"/>
        <w:ind w:right="840"/>
        <w:rPr>
          <w:rFonts w:ascii="仿宋" w:hAnsi="仿宋"/>
          <w:color w:val="000000"/>
          <w:szCs w:val="28"/>
        </w:rPr>
      </w:pPr>
    </w:p>
    <w:p>
      <w:pPr>
        <w:snapToGrid w:val="0"/>
        <w:spacing w:line="500" w:lineRule="exact"/>
        <w:ind w:right="840"/>
        <w:rPr>
          <w:rFonts w:ascii="仿宋" w:hAnsi="仿宋"/>
          <w:color w:val="000000"/>
          <w:szCs w:val="28"/>
        </w:rPr>
      </w:pPr>
    </w:p>
    <w:p>
      <w:pPr>
        <w:snapToGrid w:val="0"/>
        <w:spacing w:line="500" w:lineRule="exact"/>
        <w:ind w:right="840"/>
        <w:rPr>
          <w:rFonts w:hint="eastAsia" w:ascii="仿宋" w:hAnsi="仿宋"/>
          <w:color w:val="000000"/>
          <w:szCs w:val="28"/>
        </w:rPr>
      </w:pPr>
    </w:p>
    <w:p>
      <w:pPr>
        <w:snapToGrid w:val="0"/>
        <w:spacing w:line="500" w:lineRule="exact"/>
        <w:ind w:right="210" w:firstLine="3990" w:firstLineChars="1900"/>
        <w:jc w:val="right"/>
        <w:rPr>
          <w:rFonts w:hint="eastAsia" w:ascii="仿宋" w:hAnsi="仿宋"/>
          <w:color w:val="000000"/>
          <w:szCs w:val="28"/>
        </w:rPr>
      </w:pPr>
      <w:r>
        <w:rPr>
          <w:rFonts w:hint="eastAsia" w:ascii="仿宋" w:hAnsi="仿宋"/>
          <w:color w:val="000000"/>
          <w:szCs w:val="28"/>
        </w:rPr>
        <w:t>远东电缆有限公司</w:t>
      </w:r>
    </w:p>
    <w:p>
      <w:pPr>
        <w:snapToGrid w:val="0"/>
        <w:spacing w:line="500" w:lineRule="exact"/>
        <w:ind w:firstLine="2940" w:firstLineChars="1400"/>
        <w:jc w:val="right"/>
        <w:rPr>
          <w:rFonts w:hint="eastAsia" w:ascii="仿宋" w:hAnsi="仿宋"/>
          <w:color w:val="000000"/>
          <w:szCs w:val="28"/>
        </w:rPr>
      </w:pPr>
      <w:r>
        <w:rPr>
          <w:rFonts w:hint="eastAsia" w:ascii="仿宋" w:hAnsi="仿宋"/>
          <w:color w:val="000000"/>
          <w:szCs w:val="28"/>
        </w:rPr>
        <w:t xml:space="preserve">          二零二五年七月八日</w:t>
      </w:r>
    </w:p>
    <w:p>
      <w:pPr>
        <w:pStyle w:val="2"/>
        <w:spacing w:before="0" w:after="0" w:line="500" w:lineRule="exact"/>
      </w:pPr>
      <w:bookmarkStart w:id="2" w:name="_Toc202442809"/>
      <w:r>
        <w:rPr>
          <w:rFonts w:hint="eastAsia"/>
        </w:rPr>
        <w:t>第二部分 投标人须知</w:t>
      </w:r>
      <w:bookmarkEnd w:id="2"/>
      <w:bookmarkStart w:id="3" w:name="_Toc123786822"/>
      <w:bookmarkStart w:id="4" w:name="_Toc42923333"/>
      <w:bookmarkStart w:id="5" w:name="_Toc71877701"/>
    </w:p>
    <w:p>
      <w:pPr>
        <w:pStyle w:val="3"/>
        <w:spacing w:before="0" w:after="0" w:line="500" w:lineRule="exact"/>
        <w:rPr>
          <w:rFonts w:hint="eastAsia" w:ascii="仿宋" w:hAnsi="仿宋"/>
          <w:sz w:val="24"/>
          <w:szCs w:val="24"/>
        </w:rPr>
      </w:pPr>
      <w:bookmarkStart w:id="6" w:name="_Toc202442810"/>
      <w:r>
        <w:rPr>
          <w:rFonts w:hint="eastAsia" w:ascii="仿宋" w:hAnsi="仿宋"/>
          <w:sz w:val="24"/>
          <w:szCs w:val="24"/>
        </w:rPr>
        <w:t>一、说明</w:t>
      </w:r>
      <w:bookmarkEnd w:id="3"/>
      <w:bookmarkEnd w:id="4"/>
      <w:bookmarkEnd w:id="5"/>
      <w:bookmarkEnd w:id="6"/>
    </w:p>
    <w:p>
      <w:pPr>
        <w:pStyle w:val="4"/>
        <w:spacing w:before="0" w:after="0" w:line="500" w:lineRule="exact"/>
        <w:rPr>
          <w:rFonts w:hint="eastAsia" w:ascii="仿宋" w:hAnsi="仿宋"/>
          <w:sz w:val="24"/>
          <w:szCs w:val="24"/>
        </w:rPr>
      </w:pPr>
      <w:bookmarkStart w:id="7" w:name="_Toc202442811"/>
      <w:r>
        <w:rPr>
          <w:rFonts w:hint="eastAsia" w:ascii="仿宋" w:hAnsi="仿宋"/>
          <w:sz w:val="24"/>
          <w:szCs w:val="24"/>
        </w:rPr>
        <w:t>1、本招标文件有关条款由招标人负责解释。</w:t>
      </w:r>
      <w:bookmarkEnd w:id="7"/>
    </w:p>
    <w:p>
      <w:pPr>
        <w:pStyle w:val="4"/>
        <w:spacing w:before="0" w:after="0" w:line="500" w:lineRule="exact"/>
        <w:rPr>
          <w:rFonts w:hint="eastAsia" w:ascii="仿宋" w:hAnsi="仿宋"/>
          <w:sz w:val="24"/>
          <w:szCs w:val="24"/>
        </w:rPr>
      </w:pPr>
      <w:bookmarkStart w:id="8" w:name="_Toc123786824"/>
      <w:bookmarkStart w:id="9" w:name="_Toc42923335"/>
      <w:bookmarkStart w:id="10" w:name="_Toc71877703"/>
      <w:bookmarkStart w:id="11" w:name="_Toc480207321"/>
      <w:bookmarkStart w:id="12" w:name="_Toc202442812"/>
      <w:r>
        <w:rPr>
          <w:rFonts w:hint="eastAsia" w:ascii="仿宋" w:hAnsi="仿宋"/>
          <w:sz w:val="24"/>
          <w:szCs w:val="24"/>
        </w:rPr>
        <w:t>2、招标</w:t>
      </w:r>
      <w:bookmarkEnd w:id="8"/>
      <w:bookmarkEnd w:id="9"/>
      <w:bookmarkEnd w:id="10"/>
      <w:r>
        <w:rPr>
          <w:rFonts w:hint="eastAsia" w:ascii="仿宋" w:hAnsi="仿宋"/>
          <w:sz w:val="24"/>
          <w:szCs w:val="24"/>
        </w:rPr>
        <w:t>人</w:t>
      </w:r>
      <w:bookmarkEnd w:id="11"/>
      <w:bookmarkEnd w:id="12"/>
    </w:p>
    <w:p>
      <w:pPr>
        <w:tabs>
          <w:tab w:val="left" w:pos="720"/>
        </w:tabs>
        <w:adjustRightInd w:val="0"/>
        <w:snapToGrid w:val="0"/>
        <w:spacing w:line="500" w:lineRule="exact"/>
        <w:ind w:left="2" w:leftChars="1" w:firstLine="480"/>
        <w:rPr>
          <w:rFonts w:hint="eastAsia" w:ascii="仿宋" w:hAnsi="仿宋"/>
          <w:sz w:val="24"/>
        </w:rPr>
      </w:pPr>
      <w:r>
        <w:rPr>
          <w:rFonts w:hint="eastAsia" w:ascii="仿宋" w:hAnsi="仿宋"/>
          <w:sz w:val="24"/>
        </w:rPr>
        <w:t>2.1 招标人及联系方式见投标邀请。</w:t>
      </w:r>
    </w:p>
    <w:p>
      <w:pPr>
        <w:pStyle w:val="4"/>
        <w:spacing w:before="0" w:after="0" w:line="500" w:lineRule="exact"/>
        <w:rPr>
          <w:rFonts w:hint="eastAsia" w:ascii="仿宋" w:hAnsi="仿宋"/>
          <w:sz w:val="24"/>
          <w:szCs w:val="24"/>
        </w:rPr>
      </w:pPr>
      <w:bookmarkStart w:id="13" w:name="_Toc123786826"/>
      <w:bookmarkStart w:id="14" w:name="_Toc71877705"/>
      <w:bookmarkStart w:id="15" w:name="_Toc42923337"/>
      <w:bookmarkStart w:id="16" w:name="_Toc202442813"/>
      <w:r>
        <w:rPr>
          <w:rFonts w:hint="eastAsia" w:ascii="仿宋" w:hAnsi="仿宋"/>
          <w:sz w:val="24"/>
          <w:szCs w:val="24"/>
        </w:rPr>
        <w:t>3、合格的投标人</w:t>
      </w:r>
      <w:bookmarkEnd w:id="13"/>
      <w:bookmarkEnd w:id="14"/>
      <w:bookmarkEnd w:id="15"/>
      <w:bookmarkEnd w:id="16"/>
    </w:p>
    <w:p>
      <w:pPr>
        <w:tabs>
          <w:tab w:val="left" w:pos="720"/>
        </w:tabs>
        <w:adjustRightInd w:val="0"/>
        <w:snapToGrid w:val="0"/>
        <w:spacing w:line="500" w:lineRule="exact"/>
        <w:ind w:left="2" w:leftChars="1" w:firstLine="480"/>
        <w:rPr>
          <w:rFonts w:hint="eastAsia" w:ascii="仿宋" w:hAnsi="仿宋"/>
          <w:sz w:val="24"/>
        </w:rPr>
      </w:pPr>
      <w:r>
        <w:rPr>
          <w:rFonts w:hint="eastAsia" w:ascii="仿宋" w:hAnsi="仿宋"/>
          <w:sz w:val="24"/>
        </w:rPr>
        <w:t xml:space="preserve">3.1投标人应满足第三部分 项目需求中所述要求：  </w:t>
      </w:r>
    </w:p>
    <w:p>
      <w:pPr>
        <w:tabs>
          <w:tab w:val="left" w:pos="720"/>
        </w:tabs>
        <w:adjustRightInd w:val="0"/>
        <w:snapToGrid w:val="0"/>
        <w:spacing w:line="500" w:lineRule="exact"/>
        <w:ind w:left="2" w:leftChars="1" w:firstLine="480"/>
        <w:rPr>
          <w:rFonts w:hint="eastAsia" w:ascii="仿宋" w:hAnsi="仿宋"/>
          <w:sz w:val="24"/>
        </w:rPr>
      </w:pPr>
      <w:r>
        <w:rPr>
          <w:rFonts w:hint="eastAsia" w:ascii="仿宋" w:hAnsi="仿宋"/>
          <w:sz w:val="24"/>
        </w:rPr>
        <w:t>3.</w:t>
      </w:r>
      <w:r>
        <w:rPr>
          <w:rFonts w:ascii="仿宋" w:hAnsi="仿宋"/>
          <w:sz w:val="24"/>
        </w:rPr>
        <w:t>2</w:t>
      </w:r>
      <w:r>
        <w:rPr>
          <w:rFonts w:hint="eastAsia" w:ascii="仿宋" w:hAnsi="仿宋"/>
          <w:sz w:val="24"/>
        </w:rPr>
        <w:t xml:space="preserve"> 投标人必须遵守《中华人民共和国招标投标法》的有关规定和其他相关的法律、法规、规章、条例及招标文件中的规定。</w:t>
      </w:r>
    </w:p>
    <w:p>
      <w:pPr>
        <w:tabs>
          <w:tab w:val="left" w:pos="720"/>
        </w:tabs>
        <w:adjustRightInd w:val="0"/>
        <w:snapToGrid w:val="0"/>
        <w:spacing w:line="500" w:lineRule="exact"/>
        <w:ind w:left="2" w:leftChars="1" w:firstLine="480"/>
        <w:rPr>
          <w:rFonts w:hint="eastAsia" w:ascii="仿宋" w:hAnsi="仿宋"/>
          <w:sz w:val="24"/>
        </w:rPr>
      </w:pPr>
      <w:bookmarkStart w:id="17" w:name="_Hlt42848260"/>
      <w:bookmarkEnd w:id="17"/>
      <w:r>
        <w:rPr>
          <w:rFonts w:hint="eastAsia" w:ascii="仿宋" w:hAnsi="仿宋"/>
          <w:sz w:val="24"/>
        </w:rPr>
        <w:t>3.</w:t>
      </w:r>
      <w:r>
        <w:rPr>
          <w:rFonts w:ascii="仿宋" w:hAnsi="仿宋"/>
          <w:sz w:val="24"/>
        </w:rPr>
        <w:t>3</w:t>
      </w:r>
      <w:r>
        <w:rPr>
          <w:rFonts w:hint="eastAsia" w:ascii="仿宋" w:hAnsi="仿宋"/>
          <w:sz w:val="24"/>
        </w:rPr>
        <w:t>、投标人应保证招标单位在本项目招标过程中以及招标结束后在使用该货物/服务的任何一部分时，免受投标人或第三方提出的侵犯其专利权、商标权、著作权或其它知识产权的起诉。</w:t>
      </w:r>
    </w:p>
    <w:p>
      <w:pPr>
        <w:pStyle w:val="4"/>
        <w:spacing w:before="0" w:after="0" w:line="500" w:lineRule="exact"/>
        <w:rPr>
          <w:rFonts w:hint="eastAsia" w:ascii="仿宋" w:hAnsi="仿宋"/>
          <w:sz w:val="24"/>
          <w:szCs w:val="24"/>
        </w:rPr>
      </w:pPr>
      <w:bookmarkStart w:id="18" w:name="_Hlt42848264"/>
      <w:bookmarkEnd w:id="18"/>
      <w:bookmarkStart w:id="19" w:name="_Toc71877707"/>
      <w:bookmarkStart w:id="20" w:name="_Toc42923339"/>
      <w:bookmarkStart w:id="21" w:name="_Toc123786828"/>
      <w:bookmarkStart w:id="22" w:name="_Toc480207322"/>
      <w:bookmarkStart w:id="23" w:name="_Toc202442814"/>
      <w:r>
        <w:rPr>
          <w:rFonts w:hint="eastAsia" w:ascii="仿宋" w:hAnsi="仿宋"/>
          <w:sz w:val="24"/>
          <w:szCs w:val="24"/>
        </w:rPr>
        <w:t>4、投标费用</w:t>
      </w:r>
      <w:bookmarkEnd w:id="19"/>
      <w:bookmarkEnd w:id="20"/>
      <w:bookmarkEnd w:id="21"/>
      <w:bookmarkEnd w:id="22"/>
      <w:bookmarkEnd w:id="23"/>
    </w:p>
    <w:p>
      <w:pPr>
        <w:numPr>
          <w:ilvl w:val="1"/>
          <w:numId w:val="4"/>
        </w:numPr>
        <w:tabs>
          <w:tab w:val="left" w:pos="720"/>
        </w:tabs>
        <w:adjustRightInd w:val="0"/>
        <w:snapToGrid w:val="0"/>
        <w:spacing w:line="500" w:lineRule="exact"/>
        <w:rPr>
          <w:rFonts w:hint="eastAsia" w:ascii="仿宋" w:hAnsi="仿宋"/>
          <w:sz w:val="24"/>
        </w:rPr>
      </w:pPr>
      <w:r>
        <w:rPr>
          <w:rFonts w:hint="eastAsia" w:ascii="仿宋" w:hAnsi="仿宋"/>
          <w:sz w:val="24"/>
        </w:rPr>
        <w:t>投标人在投标过程中的一切费用，不论中标与否，由投标人自行承担。</w:t>
      </w:r>
    </w:p>
    <w:p>
      <w:pPr>
        <w:pStyle w:val="3"/>
        <w:spacing w:before="0" w:after="0" w:line="500" w:lineRule="exact"/>
        <w:rPr>
          <w:rFonts w:hint="eastAsia" w:ascii="仿宋" w:hAnsi="仿宋"/>
          <w:sz w:val="24"/>
          <w:szCs w:val="24"/>
        </w:rPr>
      </w:pPr>
      <w:bookmarkStart w:id="24" w:name="_Toc123786834"/>
      <w:bookmarkStart w:id="25" w:name="_Toc71877712"/>
      <w:bookmarkStart w:id="26" w:name="_Toc42923344"/>
      <w:bookmarkStart w:id="27" w:name="_Toc202442815"/>
      <w:r>
        <w:rPr>
          <w:rFonts w:hint="eastAsia" w:ascii="仿宋" w:hAnsi="仿宋"/>
          <w:sz w:val="24"/>
          <w:szCs w:val="24"/>
        </w:rPr>
        <w:t>二、</w:t>
      </w:r>
      <w:r>
        <w:rPr>
          <w:rFonts w:hint="eastAsia" w:ascii="仿宋" w:hAnsi="仿宋"/>
          <w:sz w:val="24"/>
          <w:szCs w:val="24"/>
        </w:rPr>
        <w:tab/>
      </w:r>
      <w:r>
        <w:rPr>
          <w:rFonts w:hint="eastAsia" w:ascii="仿宋" w:hAnsi="仿宋"/>
          <w:sz w:val="24"/>
          <w:szCs w:val="24"/>
        </w:rPr>
        <w:t>投标文件</w:t>
      </w:r>
      <w:bookmarkEnd w:id="24"/>
      <w:bookmarkEnd w:id="25"/>
      <w:bookmarkEnd w:id="26"/>
      <w:bookmarkEnd w:id="27"/>
    </w:p>
    <w:p>
      <w:pPr>
        <w:pStyle w:val="4"/>
        <w:spacing w:before="0" w:after="0" w:line="500" w:lineRule="exact"/>
        <w:rPr>
          <w:rFonts w:hint="eastAsia" w:ascii="仿宋" w:hAnsi="仿宋"/>
          <w:sz w:val="24"/>
          <w:szCs w:val="24"/>
        </w:rPr>
      </w:pPr>
      <w:bookmarkStart w:id="28" w:name="_Toc480207324"/>
      <w:bookmarkStart w:id="29" w:name="_Toc123786835"/>
      <w:bookmarkStart w:id="30" w:name="_Toc42923345"/>
      <w:bookmarkStart w:id="31" w:name="_Toc71877713"/>
      <w:bookmarkStart w:id="32" w:name="_Toc202442816"/>
      <w:r>
        <w:rPr>
          <w:rFonts w:hint="eastAsia" w:ascii="仿宋" w:hAnsi="仿宋"/>
          <w:sz w:val="24"/>
          <w:szCs w:val="24"/>
        </w:rPr>
        <w:t>1、投标的语言</w:t>
      </w:r>
      <w:bookmarkEnd w:id="28"/>
      <w:bookmarkEnd w:id="29"/>
      <w:bookmarkEnd w:id="30"/>
      <w:bookmarkEnd w:id="31"/>
      <w:bookmarkEnd w:id="32"/>
    </w:p>
    <w:p>
      <w:pPr>
        <w:tabs>
          <w:tab w:val="left" w:pos="720"/>
        </w:tabs>
        <w:adjustRightInd w:val="0"/>
        <w:snapToGrid w:val="0"/>
        <w:spacing w:line="500" w:lineRule="exact"/>
        <w:ind w:left="2" w:leftChars="1" w:firstLine="480"/>
        <w:rPr>
          <w:rFonts w:hint="eastAsia" w:ascii="仿宋" w:hAnsi="仿宋"/>
          <w:sz w:val="24"/>
        </w:rPr>
      </w:pPr>
      <w:r>
        <w:rPr>
          <w:rFonts w:hint="eastAsia" w:ascii="仿宋" w:hAnsi="仿宋"/>
          <w:sz w:val="24"/>
        </w:rPr>
        <w:t>1.1投标人提交的投标文件以及投标人与招标人就有关投标的所有来往函电均应使用中文书写。</w:t>
      </w:r>
    </w:p>
    <w:p>
      <w:pPr>
        <w:pStyle w:val="4"/>
        <w:spacing w:before="0" w:after="0" w:line="500" w:lineRule="exact"/>
        <w:rPr>
          <w:rFonts w:hint="eastAsia" w:ascii="仿宋" w:hAnsi="仿宋"/>
          <w:sz w:val="24"/>
          <w:szCs w:val="24"/>
        </w:rPr>
      </w:pPr>
      <w:bookmarkStart w:id="33" w:name="_Toc71877714"/>
      <w:bookmarkStart w:id="34" w:name="_Toc480207325"/>
      <w:bookmarkStart w:id="35" w:name="_Toc123786836"/>
      <w:bookmarkStart w:id="36" w:name="_Toc42923346"/>
      <w:bookmarkStart w:id="37" w:name="_Toc202442817"/>
      <w:r>
        <w:rPr>
          <w:rFonts w:hint="eastAsia" w:ascii="仿宋" w:hAnsi="仿宋"/>
          <w:sz w:val="24"/>
          <w:szCs w:val="24"/>
        </w:rPr>
        <w:t>2、投标文件构成</w:t>
      </w:r>
      <w:bookmarkEnd w:id="33"/>
      <w:bookmarkEnd w:id="34"/>
      <w:bookmarkEnd w:id="35"/>
      <w:bookmarkEnd w:id="36"/>
      <w:bookmarkEnd w:id="37"/>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2.1 投标人编写的投标文件应包括下列内容：</w:t>
      </w:r>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1）投标文件包括：</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sz w:val="24"/>
        </w:rPr>
        <w:t>a</w:t>
      </w:r>
      <w:r>
        <w:rPr>
          <w:rFonts w:ascii="仿宋" w:hAnsi="仿宋"/>
          <w:sz w:val="24"/>
        </w:rPr>
        <w:t xml:space="preserve"> </w:t>
      </w:r>
      <w:r>
        <w:rPr>
          <w:rFonts w:hint="eastAsia" w:ascii="仿宋" w:hAnsi="仿宋"/>
          <w:sz w:val="24"/>
        </w:rPr>
        <w:t>法定代表人身份证明或附有法定代表人身份证明的授权委托书（格式见本招标文件第四部分）；</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color w:val="000000"/>
          <w:sz w:val="24"/>
        </w:rPr>
        <w:t>b</w:t>
      </w:r>
      <w:r>
        <w:rPr>
          <w:rFonts w:ascii="仿宋" w:hAnsi="仿宋"/>
          <w:color w:val="000000"/>
          <w:sz w:val="24"/>
        </w:rPr>
        <w:t xml:space="preserve"> </w:t>
      </w:r>
      <w:r>
        <w:rPr>
          <w:rFonts w:hint="eastAsia" w:ascii="仿宋" w:hAnsi="仿宋"/>
          <w:color w:val="000000"/>
          <w:sz w:val="24"/>
        </w:rPr>
        <w:t>资格证</w:t>
      </w:r>
      <w:r>
        <w:rPr>
          <w:rFonts w:hint="eastAsia" w:ascii="仿宋" w:hAnsi="仿宋"/>
          <w:sz w:val="24"/>
        </w:rPr>
        <w:t>明材料：营业执照副本、组织机构代码、税务登记证副本或三证合一资质；</w:t>
      </w:r>
    </w:p>
    <w:p>
      <w:pPr>
        <w:pStyle w:val="39"/>
        <w:spacing w:line="500" w:lineRule="exact"/>
        <w:ind w:firstLine="0" w:firstLineChars="0"/>
        <w:rPr>
          <w:rFonts w:hint="eastAsia" w:ascii="仿宋" w:hAnsi="仿宋"/>
          <w:sz w:val="24"/>
        </w:rPr>
      </w:pPr>
      <w:r>
        <w:rPr>
          <w:rFonts w:hint="eastAsia" w:ascii="仿宋" w:hAnsi="仿宋"/>
          <w:sz w:val="24"/>
        </w:rPr>
        <w:t xml:space="preserve">   </w:t>
      </w:r>
      <w:r>
        <w:rPr>
          <w:rFonts w:ascii="仿宋" w:hAnsi="仿宋"/>
          <w:sz w:val="24"/>
        </w:rPr>
        <w:t xml:space="preserve">    </w:t>
      </w:r>
      <w:r>
        <w:rPr>
          <w:rFonts w:hint="eastAsia" w:ascii="仿宋" w:hAnsi="仿宋"/>
          <w:sz w:val="24"/>
        </w:rPr>
        <w:t>c</w:t>
      </w:r>
      <w:r>
        <w:rPr>
          <w:rFonts w:ascii="仿宋" w:hAnsi="仿宋"/>
          <w:sz w:val="24"/>
        </w:rPr>
        <w:t xml:space="preserve"> </w:t>
      </w:r>
      <w:r>
        <w:rPr>
          <w:rFonts w:hint="eastAsia" w:ascii="仿宋" w:hAnsi="仿宋" w:eastAsia="宋体"/>
          <w:sz w:val="24"/>
        </w:rPr>
        <w:t>上年度财务报表</w:t>
      </w:r>
      <w:r>
        <w:rPr>
          <w:rFonts w:hint="eastAsia" w:ascii="仿宋" w:hAnsi="仿宋"/>
          <w:sz w:val="24"/>
        </w:rPr>
        <w:t>。</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sz w:val="24"/>
        </w:rPr>
        <w:t>d</w:t>
      </w:r>
      <w:r>
        <w:rPr>
          <w:rFonts w:ascii="仿宋" w:hAnsi="仿宋"/>
          <w:sz w:val="24"/>
        </w:rPr>
        <w:t xml:space="preserve"> </w:t>
      </w:r>
      <w:r>
        <w:rPr>
          <w:rFonts w:hint="eastAsia" w:ascii="仿宋" w:hAnsi="仿宋"/>
          <w:sz w:val="24"/>
        </w:rPr>
        <w:t>相关服务案例证明资料。</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sz w:val="24"/>
        </w:rPr>
        <w:t>e</w:t>
      </w:r>
      <w:r>
        <w:rPr>
          <w:rFonts w:ascii="仿宋" w:hAnsi="仿宋"/>
          <w:sz w:val="24"/>
        </w:rPr>
        <w:t xml:space="preserve"> </w:t>
      </w:r>
      <w:r>
        <w:rPr>
          <w:rFonts w:hint="eastAsia" w:ascii="仿宋" w:hAnsi="仿宋"/>
          <w:sz w:val="24"/>
        </w:rPr>
        <w:t>除上述内容外其他支撑投标公司资质、经验、公司实力的其他有效证明材料。</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sz w:val="24"/>
        </w:rPr>
        <w:t>f廉政协议。</w:t>
      </w:r>
    </w:p>
    <w:p>
      <w:pPr>
        <w:tabs>
          <w:tab w:val="left" w:pos="720"/>
        </w:tabs>
        <w:adjustRightInd w:val="0"/>
        <w:snapToGrid w:val="0"/>
        <w:spacing w:line="500" w:lineRule="exact"/>
        <w:ind w:left="958"/>
        <w:jc w:val="left"/>
        <w:rPr>
          <w:rFonts w:hint="eastAsia" w:ascii="仿宋" w:hAnsi="仿宋"/>
          <w:sz w:val="24"/>
        </w:rPr>
      </w:pPr>
      <w:r>
        <w:rPr>
          <w:rFonts w:hint="eastAsia" w:ascii="仿宋" w:hAnsi="仿宋"/>
          <w:sz w:val="24"/>
        </w:rPr>
        <w:t>g招标文件要求的其他资料；</w:t>
      </w:r>
    </w:p>
    <w:p>
      <w:pPr>
        <w:pStyle w:val="4"/>
        <w:spacing w:before="0" w:after="0" w:line="500" w:lineRule="exact"/>
        <w:rPr>
          <w:rFonts w:hint="eastAsia" w:ascii="仿宋" w:hAnsi="仿宋"/>
          <w:sz w:val="24"/>
          <w:szCs w:val="24"/>
        </w:rPr>
      </w:pPr>
      <w:bookmarkStart w:id="38" w:name="_Toc123786837"/>
      <w:bookmarkStart w:id="39" w:name="_Toc480207326"/>
      <w:bookmarkStart w:id="40" w:name="_Toc202442818"/>
      <w:bookmarkStart w:id="41" w:name="_Toc42923348"/>
      <w:bookmarkStart w:id="42" w:name="_Toc71877716"/>
      <w:r>
        <w:rPr>
          <w:rFonts w:hint="eastAsia" w:ascii="仿宋" w:hAnsi="仿宋"/>
          <w:sz w:val="24"/>
          <w:szCs w:val="24"/>
        </w:rPr>
        <w:t>3、投标书</w:t>
      </w:r>
      <w:bookmarkEnd w:id="38"/>
      <w:bookmarkEnd w:id="39"/>
      <w:bookmarkEnd w:id="40"/>
    </w:p>
    <w:p>
      <w:pPr>
        <w:snapToGrid w:val="0"/>
        <w:spacing w:line="500" w:lineRule="exact"/>
        <w:ind w:firstLine="480"/>
        <w:rPr>
          <w:rFonts w:hint="eastAsia" w:ascii="仿宋" w:hAnsi="仿宋"/>
          <w:sz w:val="24"/>
        </w:rPr>
      </w:pPr>
      <w:r>
        <w:rPr>
          <w:rFonts w:hint="eastAsia" w:ascii="仿宋" w:hAnsi="仿宋"/>
          <w:sz w:val="24"/>
        </w:rPr>
        <w:t>投标人应根据招标文件要求，认真准备投标文件，包括但不限于盖章的报价单、商务投标资料中要求的相关文件，投标人提交的证明文件应是真实、合法、有效的。</w:t>
      </w:r>
    </w:p>
    <w:p>
      <w:pPr>
        <w:pStyle w:val="4"/>
        <w:spacing w:before="0" w:after="0" w:line="500" w:lineRule="exact"/>
        <w:rPr>
          <w:rFonts w:hint="eastAsia" w:ascii="仿宋" w:hAnsi="仿宋"/>
          <w:sz w:val="24"/>
          <w:szCs w:val="24"/>
        </w:rPr>
      </w:pPr>
      <w:bookmarkStart w:id="43" w:name="_Toc480207327"/>
      <w:bookmarkStart w:id="44" w:name="_Toc123786838"/>
      <w:bookmarkStart w:id="45" w:name="_Toc202442819"/>
      <w:r>
        <w:rPr>
          <w:rFonts w:hint="eastAsia" w:ascii="仿宋" w:hAnsi="仿宋"/>
          <w:sz w:val="24"/>
          <w:szCs w:val="24"/>
        </w:rPr>
        <w:t>4、投标报价和货币</w:t>
      </w:r>
      <w:bookmarkEnd w:id="41"/>
      <w:bookmarkEnd w:id="42"/>
      <w:bookmarkEnd w:id="43"/>
      <w:bookmarkEnd w:id="44"/>
      <w:bookmarkEnd w:id="45"/>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4.1投标报价应包含招标文件所有明示、暗示的一切风险。</w:t>
      </w:r>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4.2投标人应在报价单上标明项目单价。</w:t>
      </w:r>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4.</w:t>
      </w:r>
      <w:r>
        <w:rPr>
          <w:rFonts w:ascii="仿宋" w:hAnsi="仿宋"/>
          <w:sz w:val="24"/>
        </w:rPr>
        <w:t>3</w:t>
      </w:r>
      <w:r>
        <w:rPr>
          <w:rFonts w:hint="eastAsia" w:ascii="仿宋" w:hAnsi="仿宋"/>
          <w:sz w:val="24"/>
        </w:rPr>
        <w:t>投标人所报的投标价在合同执行过程中是固定不变的，不得以任何理由予以变更。</w:t>
      </w:r>
    </w:p>
    <w:p>
      <w:pPr>
        <w:pStyle w:val="4"/>
        <w:spacing w:before="0" w:after="0" w:line="500" w:lineRule="exact"/>
        <w:rPr>
          <w:rFonts w:hint="eastAsia" w:ascii="仿宋" w:hAnsi="仿宋"/>
          <w:sz w:val="24"/>
          <w:szCs w:val="24"/>
        </w:rPr>
      </w:pPr>
      <w:bookmarkStart w:id="46" w:name="_Toc42923353"/>
      <w:bookmarkStart w:id="47" w:name="_Toc480207330"/>
      <w:bookmarkStart w:id="48" w:name="_Toc202442820"/>
      <w:bookmarkStart w:id="49" w:name="_Toc71877721"/>
      <w:bookmarkStart w:id="50" w:name="_Toc123786843"/>
      <w:r>
        <w:rPr>
          <w:rFonts w:hint="eastAsia" w:ascii="仿宋" w:hAnsi="仿宋"/>
          <w:sz w:val="24"/>
          <w:szCs w:val="24"/>
        </w:rPr>
        <w:t>5、投标文件的式样和签署</w:t>
      </w:r>
      <w:bookmarkEnd w:id="46"/>
      <w:bookmarkEnd w:id="47"/>
      <w:bookmarkEnd w:id="48"/>
      <w:bookmarkEnd w:id="49"/>
      <w:bookmarkEnd w:id="50"/>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5.1投标人应准备商务投标文件和技术投标文件（正副本各一份），独立密封包装。</w:t>
      </w:r>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5.2投标文件需打印，并由法定代表人或授权代表在投标文件上签字，并加盖投标单位公章，投标文件的副本可采用正本的复印件。</w:t>
      </w:r>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5.3 投标文件中任何行间插字、涂改和增删之处应由投标单位加盖公章。</w:t>
      </w:r>
    </w:p>
    <w:p>
      <w:pPr>
        <w:pStyle w:val="3"/>
        <w:spacing w:before="0" w:after="0" w:line="500" w:lineRule="exact"/>
        <w:rPr>
          <w:rFonts w:hint="eastAsia" w:ascii="仿宋" w:hAnsi="仿宋"/>
          <w:sz w:val="24"/>
          <w:szCs w:val="24"/>
        </w:rPr>
      </w:pPr>
      <w:bookmarkStart w:id="51" w:name="_Toc71877722"/>
      <w:bookmarkStart w:id="52" w:name="_Toc42923354"/>
      <w:bookmarkStart w:id="53" w:name="_Toc123786844"/>
      <w:bookmarkStart w:id="54" w:name="_Toc202442821"/>
      <w:r>
        <w:rPr>
          <w:rFonts w:hint="eastAsia" w:ascii="仿宋" w:hAnsi="仿宋"/>
          <w:sz w:val="24"/>
          <w:szCs w:val="24"/>
        </w:rPr>
        <w:t>三、投标文件的递交</w:t>
      </w:r>
      <w:bookmarkEnd w:id="51"/>
      <w:bookmarkEnd w:id="52"/>
      <w:bookmarkEnd w:id="53"/>
      <w:bookmarkEnd w:id="54"/>
    </w:p>
    <w:p>
      <w:pPr>
        <w:pStyle w:val="4"/>
        <w:spacing w:before="0" w:after="0" w:line="500" w:lineRule="exact"/>
        <w:rPr>
          <w:rFonts w:hint="eastAsia" w:ascii="仿宋" w:hAnsi="仿宋"/>
          <w:sz w:val="24"/>
          <w:szCs w:val="24"/>
        </w:rPr>
      </w:pPr>
      <w:bookmarkStart w:id="55" w:name="_Toc123786845"/>
      <w:bookmarkStart w:id="56" w:name="_Toc71877723"/>
      <w:bookmarkStart w:id="57" w:name="_Toc42923355"/>
      <w:bookmarkStart w:id="58" w:name="_Toc480207332"/>
      <w:bookmarkStart w:id="59" w:name="_Toc202442822"/>
      <w:r>
        <w:rPr>
          <w:rFonts w:hint="eastAsia" w:ascii="仿宋" w:hAnsi="仿宋"/>
          <w:sz w:val="24"/>
          <w:szCs w:val="24"/>
        </w:rPr>
        <w:t>1、投标文件的密封和标记</w:t>
      </w:r>
      <w:bookmarkEnd w:id="55"/>
      <w:bookmarkEnd w:id="56"/>
      <w:bookmarkEnd w:id="57"/>
      <w:r>
        <w:rPr>
          <w:rFonts w:hint="eastAsia" w:ascii="仿宋" w:hAnsi="仿宋"/>
          <w:sz w:val="24"/>
          <w:szCs w:val="24"/>
        </w:rPr>
        <w:t>。</w:t>
      </w:r>
      <w:bookmarkEnd w:id="58"/>
      <w:bookmarkEnd w:id="59"/>
    </w:p>
    <w:p>
      <w:pPr>
        <w:tabs>
          <w:tab w:val="left" w:pos="753"/>
        </w:tabs>
        <w:adjustRightInd w:val="0"/>
        <w:snapToGrid w:val="0"/>
        <w:spacing w:line="500" w:lineRule="exact"/>
        <w:ind w:left="2" w:leftChars="1" w:firstLine="480"/>
        <w:rPr>
          <w:rFonts w:hint="eastAsia" w:ascii="仿宋" w:hAnsi="仿宋"/>
          <w:bCs/>
          <w:sz w:val="24"/>
        </w:rPr>
      </w:pPr>
      <w:r>
        <w:rPr>
          <w:rFonts w:hint="eastAsia" w:ascii="仿宋" w:hAnsi="仿宋"/>
          <w:bCs/>
          <w:sz w:val="24"/>
        </w:rPr>
        <w:t>1.1投标文件应密封在不透明的封装中。</w:t>
      </w:r>
    </w:p>
    <w:p>
      <w:pPr>
        <w:adjustRightInd w:val="0"/>
        <w:snapToGrid w:val="0"/>
        <w:spacing w:line="500" w:lineRule="exact"/>
        <w:ind w:left="2" w:leftChars="1" w:firstLine="480"/>
        <w:rPr>
          <w:rFonts w:hint="eastAsia" w:ascii="仿宋" w:hAnsi="仿宋"/>
          <w:sz w:val="24"/>
        </w:rPr>
      </w:pPr>
      <w:r>
        <w:rPr>
          <w:rFonts w:hint="eastAsia" w:ascii="仿宋" w:hAnsi="仿宋"/>
          <w:sz w:val="24"/>
        </w:rPr>
        <w:t>1.2密封封装表面应注明项目名称、招标编号、投标人名称并加盖公章。</w:t>
      </w:r>
    </w:p>
    <w:p>
      <w:pPr>
        <w:adjustRightInd w:val="0"/>
        <w:snapToGrid w:val="0"/>
        <w:spacing w:line="500" w:lineRule="exact"/>
        <w:ind w:left="2" w:leftChars="1" w:firstLine="480"/>
        <w:rPr>
          <w:rFonts w:hint="eastAsia" w:ascii="仿宋" w:hAnsi="仿宋"/>
          <w:sz w:val="24"/>
        </w:rPr>
      </w:pPr>
      <w:r>
        <w:rPr>
          <w:rFonts w:ascii="仿宋" w:hAnsi="仿宋"/>
          <w:sz w:val="24"/>
        </w:rPr>
        <w:t>1.3商务标文件和技术标文件分开封装，并标明商务标书、技术标书。</w:t>
      </w:r>
    </w:p>
    <w:p>
      <w:pPr>
        <w:pStyle w:val="4"/>
        <w:spacing w:before="0" w:after="0" w:line="500" w:lineRule="exact"/>
        <w:rPr>
          <w:rFonts w:hint="eastAsia" w:ascii="仿宋" w:hAnsi="仿宋"/>
          <w:sz w:val="24"/>
          <w:szCs w:val="24"/>
        </w:rPr>
      </w:pPr>
      <w:bookmarkStart w:id="60" w:name="_Toc202442823"/>
      <w:bookmarkStart w:id="61" w:name="_Toc123786846"/>
      <w:bookmarkStart w:id="62" w:name="_Toc42923356"/>
      <w:bookmarkStart w:id="63" w:name="_Toc71877724"/>
      <w:r>
        <w:rPr>
          <w:rFonts w:hint="eastAsia" w:ascii="仿宋" w:hAnsi="仿宋"/>
          <w:sz w:val="24"/>
          <w:szCs w:val="24"/>
        </w:rPr>
        <w:t>2、投标截止期</w:t>
      </w:r>
      <w:bookmarkEnd w:id="60"/>
      <w:bookmarkEnd w:id="61"/>
      <w:bookmarkEnd w:id="62"/>
      <w:bookmarkEnd w:id="63"/>
    </w:p>
    <w:p>
      <w:pPr>
        <w:snapToGrid w:val="0"/>
        <w:spacing w:line="500" w:lineRule="exact"/>
        <w:ind w:firstLine="480"/>
        <w:rPr>
          <w:rFonts w:hint="eastAsia" w:ascii="仿宋" w:hAnsi="仿宋"/>
          <w:sz w:val="24"/>
        </w:rPr>
      </w:pPr>
      <w:r>
        <w:rPr>
          <w:rFonts w:hint="eastAsia" w:ascii="仿宋" w:hAnsi="仿宋"/>
          <w:sz w:val="24"/>
        </w:rPr>
        <w:t>2.1招标人收到投标文件的时间应不迟于规定的投标截止时间。</w:t>
      </w:r>
    </w:p>
    <w:p>
      <w:pPr>
        <w:pStyle w:val="4"/>
        <w:spacing w:before="0" w:after="0" w:line="500" w:lineRule="exact"/>
        <w:rPr>
          <w:rFonts w:hint="eastAsia" w:ascii="仿宋" w:hAnsi="仿宋"/>
          <w:sz w:val="24"/>
          <w:szCs w:val="24"/>
        </w:rPr>
      </w:pPr>
      <w:bookmarkStart w:id="64" w:name="_Toc202442824"/>
      <w:r>
        <w:rPr>
          <w:rFonts w:hint="eastAsia" w:ascii="仿宋" w:hAnsi="仿宋"/>
          <w:sz w:val="24"/>
          <w:szCs w:val="24"/>
        </w:rPr>
        <w:t>3、标书递交方式</w:t>
      </w:r>
      <w:bookmarkEnd w:id="64"/>
    </w:p>
    <w:p>
      <w:pPr>
        <w:tabs>
          <w:tab w:val="left" w:pos="720"/>
        </w:tabs>
        <w:adjustRightInd w:val="0"/>
        <w:snapToGrid w:val="0"/>
        <w:spacing w:line="500" w:lineRule="exact"/>
        <w:ind w:firstLine="480"/>
        <w:rPr>
          <w:rFonts w:hint="eastAsia" w:ascii="仿宋" w:hAnsi="仿宋"/>
          <w:sz w:val="24"/>
        </w:rPr>
      </w:pPr>
      <w:r>
        <w:rPr>
          <w:rFonts w:hint="eastAsia" w:ascii="仿宋" w:hAnsi="仿宋"/>
          <w:sz w:val="24"/>
        </w:rPr>
        <w:t>3.1在投标截止时间前以快递或当面送达的方式交到以下地址。</w:t>
      </w:r>
    </w:p>
    <w:p>
      <w:pPr>
        <w:tabs>
          <w:tab w:val="left" w:pos="720"/>
        </w:tabs>
        <w:adjustRightInd w:val="0"/>
        <w:snapToGrid w:val="0"/>
        <w:spacing w:line="500" w:lineRule="exact"/>
        <w:ind w:firstLine="960" w:firstLineChars="400"/>
        <w:rPr>
          <w:rFonts w:hint="eastAsia" w:ascii="仿宋" w:hAnsi="仿宋"/>
          <w:sz w:val="24"/>
        </w:rPr>
      </w:pPr>
      <w:r>
        <w:rPr>
          <w:rFonts w:hint="eastAsia" w:ascii="仿宋" w:hAnsi="仿宋"/>
          <w:sz w:val="24"/>
        </w:rPr>
        <w:t>邮寄地址：</w:t>
      </w:r>
      <w:r>
        <w:rPr>
          <w:rFonts w:hint="eastAsia" w:ascii="仿宋" w:hAnsi="仿宋"/>
          <w:szCs w:val="28"/>
        </w:rPr>
        <w:t>江苏省宜兴市高塍镇范道远东大道8号一楼采供服务部107</w:t>
      </w:r>
    </w:p>
    <w:p>
      <w:pPr>
        <w:tabs>
          <w:tab w:val="left" w:pos="720"/>
        </w:tabs>
        <w:adjustRightInd w:val="0"/>
        <w:snapToGrid w:val="0"/>
        <w:spacing w:line="500" w:lineRule="exact"/>
        <w:ind w:firstLine="960" w:firstLineChars="400"/>
        <w:rPr>
          <w:rFonts w:hint="eastAsia" w:ascii="仿宋" w:hAnsi="仿宋"/>
          <w:sz w:val="24"/>
        </w:rPr>
      </w:pPr>
      <w:r>
        <w:rPr>
          <w:rFonts w:hint="eastAsia" w:ascii="仿宋" w:hAnsi="仿宋"/>
          <w:sz w:val="24"/>
        </w:rPr>
        <w:t>邮    编：</w:t>
      </w:r>
      <w:r>
        <w:rPr>
          <w:rFonts w:ascii="仿宋" w:hAnsi="仿宋"/>
          <w:sz w:val="24"/>
        </w:rPr>
        <w:t>214257</w:t>
      </w:r>
      <w:r>
        <w:rPr>
          <w:rFonts w:hint="eastAsia" w:ascii="仿宋" w:hAnsi="仿宋"/>
          <w:sz w:val="24"/>
        </w:rPr>
        <w:t xml:space="preserve">   </w:t>
      </w:r>
    </w:p>
    <w:p>
      <w:pPr>
        <w:tabs>
          <w:tab w:val="left" w:pos="720"/>
        </w:tabs>
        <w:adjustRightInd w:val="0"/>
        <w:snapToGrid w:val="0"/>
        <w:spacing w:line="500" w:lineRule="exact"/>
        <w:ind w:firstLine="960" w:firstLineChars="400"/>
        <w:rPr>
          <w:rFonts w:hint="eastAsia" w:ascii="仿宋" w:hAnsi="仿宋"/>
          <w:sz w:val="24"/>
        </w:rPr>
      </w:pPr>
      <w:r>
        <w:rPr>
          <w:rFonts w:hint="eastAsia" w:ascii="仿宋" w:hAnsi="仿宋"/>
          <w:sz w:val="24"/>
        </w:rPr>
        <w:t>收 件 人：叶思盈</w:t>
      </w:r>
    </w:p>
    <w:p>
      <w:pPr>
        <w:snapToGrid w:val="0"/>
        <w:spacing w:line="500" w:lineRule="exact"/>
        <w:ind w:firstLine="960" w:firstLineChars="400"/>
        <w:rPr>
          <w:rFonts w:hint="eastAsia" w:ascii="仿宋" w:hAnsi="仿宋"/>
          <w:sz w:val="24"/>
        </w:rPr>
      </w:pPr>
      <w:r>
        <w:rPr>
          <w:rFonts w:hint="eastAsia" w:ascii="仿宋" w:hAnsi="仿宋"/>
          <w:sz w:val="24"/>
        </w:rPr>
        <w:t>联系方式：18861775003</w:t>
      </w:r>
    </w:p>
    <w:p>
      <w:pPr>
        <w:snapToGrid w:val="0"/>
        <w:spacing w:line="500" w:lineRule="exact"/>
        <w:ind w:firstLine="960" w:firstLineChars="400"/>
        <w:rPr>
          <w:rFonts w:hint="eastAsia" w:ascii="仿宋" w:hAnsi="仿宋"/>
          <w:sz w:val="24"/>
        </w:rPr>
      </w:pPr>
      <w:r>
        <w:rPr>
          <w:rFonts w:ascii="仿宋" w:hAnsi="仿宋"/>
          <w:sz w:val="24"/>
        </w:rPr>
        <w:t>联系邮箱</w:t>
      </w:r>
      <w:r>
        <w:rPr>
          <w:rFonts w:hint="eastAsia" w:ascii="仿宋" w:hAnsi="仿宋"/>
          <w:sz w:val="24"/>
        </w:rPr>
        <w:t>：</w:t>
      </w:r>
      <w:r>
        <w:fldChar w:fldCharType="begin"/>
      </w:r>
      <w:r>
        <w:instrText xml:space="preserve"> HYPERLINK "mailto:%20073271@600869.com" </w:instrText>
      </w:r>
      <w:r>
        <w:fldChar w:fldCharType="separate"/>
      </w:r>
      <w:r>
        <w:rPr>
          <w:rFonts w:ascii="仿宋" w:hAnsi="仿宋"/>
          <w:sz w:val="24"/>
        </w:rPr>
        <w:t xml:space="preserve"> 076194@600869.com </w:t>
      </w:r>
      <w:r>
        <w:rPr>
          <w:rFonts w:ascii="仿宋" w:hAnsi="仿宋"/>
          <w:sz w:val="24"/>
        </w:rPr>
        <w:fldChar w:fldCharType="end"/>
      </w:r>
    </w:p>
    <w:p>
      <w:pPr>
        <w:tabs>
          <w:tab w:val="left" w:pos="720"/>
        </w:tabs>
        <w:adjustRightInd w:val="0"/>
        <w:snapToGrid w:val="0"/>
        <w:spacing w:line="500" w:lineRule="exact"/>
        <w:ind w:firstLine="960" w:firstLineChars="400"/>
        <w:rPr>
          <w:rFonts w:hint="eastAsia" w:ascii="仿宋" w:hAnsi="仿宋"/>
          <w:sz w:val="24"/>
        </w:rPr>
      </w:pPr>
      <w:r>
        <w:rPr>
          <w:rFonts w:hint="eastAsia" w:ascii="仿宋" w:hAnsi="仿宋"/>
          <w:sz w:val="24"/>
        </w:rPr>
        <w:t>注：开标确定中标单位后，以书面形式通知。</w:t>
      </w:r>
    </w:p>
    <w:p>
      <w:pPr>
        <w:pStyle w:val="3"/>
        <w:spacing w:before="0" w:after="0" w:line="500" w:lineRule="exact"/>
        <w:rPr>
          <w:rFonts w:hint="eastAsia" w:ascii="仿宋" w:hAnsi="仿宋"/>
          <w:sz w:val="24"/>
          <w:szCs w:val="24"/>
        </w:rPr>
      </w:pPr>
      <w:bookmarkStart w:id="65" w:name="_Toc123786849"/>
      <w:bookmarkStart w:id="66" w:name="_Toc42923359"/>
      <w:bookmarkStart w:id="67" w:name="_Toc71877727"/>
      <w:bookmarkStart w:id="68" w:name="_Toc202442825"/>
      <w:r>
        <w:rPr>
          <w:rFonts w:hint="eastAsia" w:ascii="仿宋" w:hAnsi="仿宋"/>
          <w:sz w:val="24"/>
          <w:szCs w:val="24"/>
        </w:rPr>
        <w:t>四、开标与评标</w:t>
      </w:r>
      <w:bookmarkEnd w:id="65"/>
      <w:bookmarkEnd w:id="66"/>
      <w:bookmarkEnd w:id="67"/>
      <w:bookmarkEnd w:id="68"/>
    </w:p>
    <w:p>
      <w:pPr>
        <w:pStyle w:val="4"/>
        <w:spacing w:before="0" w:after="0" w:line="500" w:lineRule="exact"/>
        <w:rPr>
          <w:rFonts w:hint="eastAsia" w:ascii="仿宋" w:hAnsi="仿宋"/>
          <w:sz w:val="24"/>
          <w:szCs w:val="24"/>
        </w:rPr>
      </w:pPr>
      <w:bookmarkStart w:id="69" w:name="_Toc71877729"/>
      <w:bookmarkStart w:id="70" w:name="_Toc42923361"/>
      <w:bookmarkStart w:id="71" w:name="_Toc123786851"/>
      <w:bookmarkStart w:id="72" w:name="_Toc480207334"/>
      <w:bookmarkStart w:id="73" w:name="_Toc202442826"/>
      <w:r>
        <w:rPr>
          <w:rFonts w:hint="eastAsia" w:ascii="仿宋" w:hAnsi="仿宋"/>
          <w:sz w:val="24"/>
          <w:szCs w:val="24"/>
        </w:rPr>
        <w:t>1</w:t>
      </w:r>
      <w:bookmarkEnd w:id="69"/>
      <w:bookmarkEnd w:id="70"/>
      <w:r>
        <w:rPr>
          <w:rFonts w:hint="eastAsia" w:ascii="仿宋" w:hAnsi="仿宋"/>
          <w:sz w:val="24"/>
          <w:szCs w:val="24"/>
        </w:rPr>
        <w:t>、符合性确认</w:t>
      </w:r>
      <w:bookmarkEnd w:id="71"/>
      <w:bookmarkEnd w:id="72"/>
      <w:bookmarkEnd w:id="73"/>
    </w:p>
    <w:p>
      <w:pPr>
        <w:snapToGrid w:val="0"/>
        <w:spacing w:line="500" w:lineRule="exact"/>
        <w:ind w:firstLine="480"/>
        <w:rPr>
          <w:rFonts w:hint="eastAsia" w:ascii="仿宋" w:hAnsi="仿宋"/>
          <w:sz w:val="24"/>
        </w:rPr>
      </w:pPr>
      <w:r>
        <w:rPr>
          <w:rFonts w:hint="eastAsia" w:ascii="仿宋" w:hAnsi="仿宋"/>
          <w:sz w:val="24"/>
        </w:rPr>
        <w:t>1.1招标单位应于开标时首先对投标人的投标资格及投标文件进行符合性确认。</w:t>
      </w:r>
    </w:p>
    <w:p>
      <w:pPr>
        <w:snapToGrid w:val="0"/>
        <w:spacing w:line="500" w:lineRule="exact"/>
        <w:ind w:firstLine="480"/>
        <w:rPr>
          <w:rFonts w:hint="eastAsia" w:ascii="仿宋" w:hAnsi="仿宋"/>
          <w:sz w:val="24"/>
        </w:rPr>
      </w:pPr>
      <w:r>
        <w:rPr>
          <w:rFonts w:hint="eastAsia" w:ascii="仿宋" w:hAnsi="仿宋"/>
          <w:sz w:val="24"/>
        </w:rPr>
        <w:t>1.2开启标书前，存在下列情况之一的投标人将被取消投标资格并退回投标文件：</w:t>
      </w:r>
    </w:p>
    <w:p>
      <w:pPr>
        <w:snapToGrid w:val="0"/>
        <w:spacing w:line="500" w:lineRule="exact"/>
        <w:ind w:firstLine="540" w:firstLineChars="225"/>
        <w:rPr>
          <w:rFonts w:hint="eastAsia" w:ascii="仿宋" w:hAnsi="仿宋"/>
          <w:sz w:val="24"/>
        </w:rPr>
      </w:pPr>
      <w:r>
        <w:rPr>
          <w:rFonts w:hint="eastAsia" w:ascii="仿宋" w:hAnsi="仿宋"/>
          <w:sz w:val="24"/>
        </w:rPr>
        <w:t xml:space="preserve">   1）投标文件未能于投标截止时间之前递交至指定地点；</w:t>
      </w:r>
    </w:p>
    <w:p>
      <w:pPr>
        <w:snapToGrid w:val="0"/>
        <w:spacing w:line="500" w:lineRule="exact"/>
        <w:ind w:firstLine="540" w:firstLineChars="225"/>
        <w:rPr>
          <w:rFonts w:hint="eastAsia" w:ascii="仿宋" w:hAnsi="仿宋"/>
          <w:sz w:val="24"/>
        </w:rPr>
      </w:pPr>
      <w:r>
        <w:rPr>
          <w:rFonts w:hint="eastAsia" w:ascii="仿宋" w:hAnsi="仿宋"/>
          <w:bCs/>
          <w:sz w:val="24"/>
        </w:rPr>
        <w:t xml:space="preserve">   2）</w:t>
      </w:r>
      <w:r>
        <w:rPr>
          <w:rFonts w:hint="eastAsia" w:ascii="仿宋" w:hAnsi="仿宋"/>
          <w:sz w:val="24"/>
        </w:rPr>
        <w:t>投标文件未密封。</w:t>
      </w:r>
    </w:p>
    <w:p>
      <w:pPr>
        <w:pStyle w:val="4"/>
        <w:spacing w:before="0" w:after="0" w:line="500" w:lineRule="exact"/>
        <w:rPr>
          <w:rFonts w:hint="eastAsia" w:ascii="仿宋" w:hAnsi="仿宋"/>
          <w:sz w:val="24"/>
          <w:szCs w:val="24"/>
        </w:rPr>
      </w:pPr>
      <w:bookmarkStart w:id="74" w:name="_Toc123786853"/>
      <w:bookmarkStart w:id="75" w:name="_Toc202442827"/>
      <w:r>
        <w:rPr>
          <w:rFonts w:hint="eastAsia" w:ascii="仿宋" w:hAnsi="仿宋"/>
          <w:sz w:val="24"/>
          <w:szCs w:val="24"/>
        </w:rPr>
        <w:t>2、开标程序</w:t>
      </w:r>
      <w:bookmarkEnd w:id="74"/>
      <w:bookmarkEnd w:id="75"/>
    </w:p>
    <w:p>
      <w:pPr>
        <w:snapToGrid w:val="0"/>
        <w:spacing w:line="500" w:lineRule="exact"/>
        <w:ind w:firstLine="540" w:firstLineChars="225"/>
        <w:rPr>
          <w:rFonts w:hint="eastAsia" w:ascii="仿宋" w:hAnsi="仿宋"/>
          <w:bCs/>
          <w:sz w:val="24"/>
        </w:rPr>
      </w:pPr>
      <w:r>
        <w:rPr>
          <w:rFonts w:hint="eastAsia" w:ascii="仿宋" w:hAnsi="仿宋"/>
          <w:bCs/>
          <w:sz w:val="24"/>
        </w:rPr>
        <w:t>本着保护投标人的商业机密不外泄的原则，开标采用内部议标方式（投标人不参与现场商务开标，但开标期间需保持手机畅通）。</w:t>
      </w:r>
    </w:p>
    <w:p>
      <w:pPr>
        <w:snapToGrid w:val="0"/>
        <w:spacing w:line="500" w:lineRule="exact"/>
        <w:ind w:firstLine="540" w:firstLineChars="225"/>
        <w:rPr>
          <w:rFonts w:hint="eastAsia" w:ascii="仿宋" w:hAnsi="仿宋"/>
          <w:bCs/>
          <w:sz w:val="24"/>
        </w:rPr>
      </w:pPr>
      <w:r>
        <w:rPr>
          <w:rFonts w:hint="eastAsia" w:ascii="仿宋" w:hAnsi="仿宋"/>
          <w:sz w:val="24"/>
        </w:rPr>
        <w:t>招</w:t>
      </w:r>
      <w:r>
        <w:rPr>
          <w:rFonts w:ascii="仿宋" w:hAnsi="仿宋"/>
          <w:sz w:val="24"/>
        </w:rPr>
        <w:t>标单位</w:t>
      </w:r>
      <w:r>
        <w:rPr>
          <w:rFonts w:hint="eastAsia" w:ascii="仿宋" w:hAnsi="仿宋"/>
          <w:sz w:val="24"/>
        </w:rPr>
        <w:t>承诺对投</w:t>
      </w:r>
      <w:r>
        <w:rPr>
          <w:rFonts w:ascii="仿宋" w:hAnsi="仿宋"/>
          <w:sz w:val="24"/>
        </w:rPr>
        <w:t>标人</w:t>
      </w:r>
      <w:r>
        <w:rPr>
          <w:rFonts w:hint="eastAsia" w:ascii="仿宋" w:hAnsi="仿宋"/>
          <w:sz w:val="24"/>
        </w:rPr>
        <w:t>的一切相关资料及信息进行保密，不向任何人员泄露（法律、法规另有规定的情形除外）。</w:t>
      </w:r>
    </w:p>
    <w:p>
      <w:pPr>
        <w:pStyle w:val="4"/>
        <w:spacing w:before="0" w:after="0" w:line="500" w:lineRule="exact"/>
        <w:rPr>
          <w:rFonts w:hint="eastAsia" w:ascii="仿宋" w:hAnsi="仿宋"/>
          <w:sz w:val="24"/>
          <w:szCs w:val="24"/>
        </w:rPr>
      </w:pPr>
      <w:bookmarkStart w:id="76" w:name="_Toc480207335"/>
      <w:bookmarkStart w:id="77" w:name="_Toc202442828"/>
      <w:r>
        <w:rPr>
          <w:rFonts w:hint="eastAsia" w:ascii="仿宋" w:hAnsi="仿宋"/>
          <w:sz w:val="24"/>
          <w:szCs w:val="24"/>
        </w:rPr>
        <w:t>3、</w:t>
      </w:r>
      <w:bookmarkStart w:id="78" w:name="_Toc123786854"/>
      <w:r>
        <w:rPr>
          <w:rFonts w:hint="eastAsia" w:ascii="仿宋" w:hAnsi="仿宋"/>
          <w:sz w:val="24"/>
          <w:szCs w:val="24"/>
        </w:rPr>
        <w:t>评标一般规定</w:t>
      </w:r>
      <w:bookmarkEnd w:id="76"/>
      <w:bookmarkEnd w:id="77"/>
      <w:bookmarkEnd w:id="78"/>
    </w:p>
    <w:p>
      <w:pPr>
        <w:snapToGrid w:val="0"/>
        <w:spacing w:line="500" w:lineRule="exact"/>
        <w:ind w:firstLine="480"/>
        <w:rPr>
          <w:rFonts w:hint="eastAsia" w:ascii="仿宋" w:hAnsi="仿宋"/>
          <w:sz w:val="24"/>
        </w:rPr>
      </w:pPr>
      <w:r>
        <w:rPr>
          <w:rFonts w:hint="eastAsia" w:ascii="仿宋" w:hAnsi="仿宋"/>
          <w:sz w:val="24"/>
        </w:rPr>
        <w:t>3.1评标委员会由招标人按相关规定组建。</w:t>
      </w:r>
    </w:p>
    <w:p>
      <w:pPr>
        <w:snapToGrid w:val="0"/>
        <w:spacing w:line="500" w:lineRule="exact"/>
        <w:ind w:firstLine="480"/>
        <w:rPr>
          <w:rFonts w:hint="eastAsia" w:ascii="仿宋" w:hAnsi="仿宋"/>
          <w:sz w:val="24"/>
        </w:rPr>
      </w:pPr>
      <w:r>
        <w:rPr>
          <w:rFonts w:hint="eastAsia" w:ascii="仿宋" w:hAnsi="仿宋"/>
          <w:sz w:val="24"/>
        </w:rPr>
        <w:t>3.2评标委员会须按所述评标办法，公平、公正、择优确定中标候选人。</w:t>
      </w:r>
    </w:p>
    <w:p>
      <w:pPr>
        <w:snapToGrid w:val="0"/>
        <w:spacing w:line="500" w:lineRule="exact"/>
        <w:ind w:firstLine="480"/>
        <w:rPr>
          <w:rFonts w:hint="eastAsia" w:ascii="仿宋" w:hAnsi="仿宋"/>
          <w:sz w:val="24"/>
        </w:rPr>
      </w:pPr>
      <w:r>
        <w:rPr>
          <w:rFonts w:hint="eastAsia" w:ascii="仿宋" w:hAnsi="仿宋"/>
          <w:sz w:val="24"/>
        </w:rPr>
        <w:t>3.3在评标过程中，出现各类带有争议性或不明确性问题均由评标委员会共同研究确定。若各评委意见不一致时，须经评标委员会全体人员独立表决并按少数服从多数的原则，形成最终书面决议。书面决议须经评标委员会全体人员签名确认并对所有评委具有约束力。</w:t>
      </w:r>
    </w:p>
    <w:p>
      <w:pPr>
        <w:snapToGrid w:val="0"/>
        <w:spacing w:line="500" w:lineRule="exact"/>
        <w:ind w:firstLine="480"/>
        <w:rPr>
          <w:rFonts w:hint="eastAsia" w:ascii="仿宋" w:hAnsi="仿宋"/>
          <w:sz w:val="24"/>
        </w:rPr>
      </w:pPr>
      <w:r>
        <w:rPr>
          <w:rFonts w:hint="eastAsia" w:ascii="仿宋" w:hAnsi="仿宋"/>
          <w:sz w:val="24"/>
        </w:rPr>
        <w:t>3.4参加评标会议的人员应对评标全过程的一切相关资料及信息进行保密，不得向任何人员泄露（法律、法规另有规定的情形除外）。</w:t>
      </w:r>
    </w:p>
    <w:p>
      <w:pPr>
        <w:snapToGrid w:val="0"/>
        <w:spacing w:line="500" w:lineRule="exact"/>
        <w:ind w:firstLine="480"/>
        <w:rPr>
          <w:rFonts w:hint="eastAsia" w:ascii="仿宋" w:hAnsi="仿宋"/>
          <w:sz w:val="24"/>
        </w:rPr>
      </w:pPr>
      <w:r>
        <w:rPr>
          <w:rFonts w:hint="eastAsia" w:ascii="仿宋" w:hAnsi="仿宋"/>
          <w:sz w:val="24"/>
        </w:rPr>
        <w:t>3.5开标后，投标文件概不退还。</w:t>
      </w:r>
      <w:bookmarkStart w:id="79" w:name="_Toc123786855"/>
    </w:p>
    <w:p>
      <w:pPr>
        <w:widowControl/>
        <w:spacing w:line="500" w:lineRule="exact"/>
        <w:ind w:firstLine="480"/>
        <w:jc w:val="left"/>
        <w:rPr>
          <w:rFonts w:hint="eastAsia" w:ascii="仿宋" w:hAnsi="仿宋" w:cs="宋体"/>
          <w:kern w:val="0"/>
          <w:sz w:val="24"/>
        </w:rPr>
      </w:pPr>
      <w:r>
        <w:rPr>
          <w:rFonts w:hint="eastAsia" w:ascii="仿宋" w:hAnsi="仿宋"/>
          <w:sz w:val="24"/>
        </w:rPr>
        <w:t>4</w:t>
      </w:r>
      <w:bookmarkEnd w:id="79"/>
      <w:r>
        <w:rPr>
          <w:rFonts w:hint="eastAsia" w:ascii="仿宋" w:hAnsi="仿宋"/>
          <w:sz w:val="24"/>
        </w:rPr>
        <w:t>、</w:t>
      </w:r>
      <w:r>
        <w:rPr>
          <w:rFonts w:hint="eastAsia" w:ascii="仿宋" w:hAnsi="仿宋" w:cs="宋体"/>
          <w:kern w:val="0"/>
          <w:sz w:val="24"/>
        </w:rPr>
        <w:t>评标办法</w:t>
      </w:r>
      <w:r>
        <w:rPr>
          <w:rFonts w:hint="eastAsia" w:ascii="仿宋" w:hAnsi="仿宋"/>
          <w:sz w:val="24"/>
        </w:rPr>
        <w:t>（综合评标价法）</w:t>
      </w:r>
    </w:p>
    <w:p>
      <w:pPr>
        <w:widowControl/>
        <w:spacing w:line="500" w:lineRule="exact"/>
        <w:ind w:firstLine="480"/>
        <w:jc w:val="left"/>
        <w:rPr>
          <w:rFonts w:hint="eastAsia" w:ascii="仿宋" w:hAnsi="仿宋"/>
          <w:sz w:val="24"/>
        </w:rPr>
      </w:pPr>
      <w:r>
        <w:rPr>
          <w:rFonts w:hint="eastAsia" w:ascii="仿宋" w:hAnsi="仿宋" w:cs="宋体"/>
          <w:kern w:val="0"/>
          <w:sz w:val="24"/>
        </w:rPr>
        <w:t xml:space="preserve">   本次评标采用价格、技术、业绩、质保及服务综合评标价法，即通过评审且经评审的投标价最优的投标人为第一中标候选人的评标办法。</w:t>
      </w:r>
      <w:r>
        <w:rPr>
          <w:rFonts w:hint="eastAsia" w:ascii="仿宋" w:hAnsi="仿宋"/>
          <w:sz w:val="24"/>
        </w:rPr>
        <w:t xml:space="preserve"> </w:t>
      </w:r>
    </w:p>
    <w:p>
      <w:pPr>
        <w:widowControl/>
        <w:spacing w:line="360" w:lineRule="auto"/>
        <w:jc w:val="center"/>
        <w:rPr>
          <w:rFonts w:hint="eastAsia" w:ascii="仿宋" w:hAnsi="仿宋" w:eastAsia="仿宋"/>
          <w:b/>
          <w:bCs/>
          <w:sz w:val="36"/>
          <w:szCs w:val="36"/>
        </w:rPr>
      </w:pPr>
    </w:p>
    <w:p>
      <w:pPr>
        <w:pStyle w:val="2"/>
        <w:spacing w:before="0" w:after="0" w:line="500" w:lineRule="exact"/>
      </w:pPr>
      <w:bookmarkStart w:id="80" w:name="_Toc202442829"/>
      <w:r>
        <w:rPr>
          <w:rFonts w:hint="eastAsia"/>
        </w:rPr>
        <w:t>第三部分 项目需求</w:t>
      </w:r>
      <w:bookmarkEnd w:id="80"/>
    </w:p>
    <w:p>
      <w:pPr>
        <w:pStyle w:val="3"/>
        <w:rPr>
          <w:rFonts w:hint="eastAsia"/>
        </w:rPr>
      </w:pPr>
      <w:bookmarkStart w:id="81" w:name="_Toc7959"/>
      <w:bookmarkStart w:id="82" w:name="_Toc29152"/>
      <w:bookmarkStart w:id="83" w:name="_Toc202442830"/>
      <w:bookmarkStart w:id="84" w:name="_Toc47940448"/>
      <w:r>
        <w:t>一</w:t>
      </w:r>
      <w:r>
        <w:rPr>
          <w:rFonts w:hint="eastAsia"/>
        </w:rPr>
        <w:t xml:space="preserve"> </w:t>
      </w:r>
      <w:r>
        <w:t>方案概述</w:t>
      </w:r>
      <w:bookmarkEnd w:id="81"/>
      <w:bookmarkEnd w:id="82"/>
      <w:bookmarkEnd w:id="83"/>
      <w:bookmarkStart w:id="85" w:name="_Toc29685"/>
      <w:bookmarkStart w:id="86" w:name="_Toc80790321"/>
      <w:bookmarkStart w:id="87" w:name="_Toc13883"/>
    </w:p>
    <w:p>
      <w:pPr>
        <w:pStyle w:val="30"/>
      </w:pPr>
      <w:bookmarkStart w:id="88" w:name="_Toc202442831"/>
      <w:r>
        <w:rPr>
          <w:rFonts w:hint="eastAsia"/>
        </w:rPr>
        <w:t>项目背景</w:t>
      </w:r>
      <w:bookmarkEnd w:id="85"/>
      <w:bookmarkEnd w:id="86"/>
      <w:bookmarkEnd w:id="87"/>
      <w:bookmarkEnd w:id="88"/>
    </w:p>
    <w:p>
      <w:pPr>
        <w:spacing w:line="360" w:lineRule="auto"/>
        <w:ind w:firstLine="480" w:firstLineChars="200"/>
        <w:rPr>
          <w:rFonts w:hint="eastAsia" w:ascii="宋体" w:hAnsi="宋体"/>
          <w:sz w:val="24"/>
        </w:rPr>
      </w:pPr>
      <w:r>
        <w:rPr>
          <w:rFonts w:hint="eastAsia" w:ascii="宋体" w:hAnsi="宋体"/>
          <w:sz w:val="24"/>
        </w:rPr>
        <w:t>为加强对远东海缆有限公司（以下简称“海缆”）质量检测服务部检测实验室的全面管理，促进实验室检测流程的信息化、规范化，同时强化实验室检测数据的组织、分析、查询与输出，故搭建一套功能全面、技术专业、性能稳定的实验室管理系统（LIMS）。</w:t>
      </w:r>
    </w:p>
    <w:p>
      <w:pPr>
        <w:pStyle w:val="30"/>
      </w:pPr>
      <w:bookmarkStart w:id="89" w:name="_Toc80790322"/>
      <w:bookmarkStart w:id="90" w:name="_Toc15464"/>
      <w:bookmarkStart w:id="91" w:name="_Toc27903"/>
      <w:bookmarkStart w:id="92" w:name="_Toc202442832"/>
      <w:r>
        <w:rPr>
          <w:rFonts w:hint="eastAsia"/>
        </w:rPr>
        <w:t>项目</w:t>
      </w:r>
      <w:bookmarkEnd w:id="89"/>
      <w:r>
        <w:rPr>
          <w:rFonts w:hint="eastAsia"/>
        </w:rPr>
        <w:t>目标</w:t>
      </w:r>
      <w:bookmarkEnd w:id="90"/>
      <w:bookmarkEnd w:id="91"/>
      <w:bookmarkEnd w:id="92"/>
    </w:p>
    <w:p>
      <w:pPr>
        <w:spacing w:line="360" w:lineRule="auto"/>
        <w:ind w:firstLine="480" w:firstLineChars="200"/>
        <w:rPr>
          <w:rFonts w:hint="eastAsia" w:ascii="宋体" w:hAnsi="宋体" w:cs="宋体"/>
          <w:sz w:val="24"/>
        </w:rPr>
      </w:pPr>
      <w:bookmarkStart w:id="93" w:name="_Toc80790323"/>
      <w:bookmarkStart w:id="94" w:name="_Toc22118"/>
      <w:r>
        <w:rPr>
          <w:rFonts w:hint="eastAsia" w:ascii="宋体" w:hAnsi="宋体" w:cs="宋体"/>
          <w:sz w:val="24"/>
        </w:rPr>
        <w:t xml:space="preserve">通过实施LIMS系统，实现以下目标：  </w:t>
      </w:r>
    </w:p>
    <w:p>
      <w:pPr>
        <w:spacing w:line="360" w:lineRule="auto"/>
        <w:ind w:firstLine="480" w:firstLineChars="200"/>
        <w:rPr>
          <w:rFonts w:hint="eastAsia" w:ascii="宋体" w:hAnsi="宋体" w:cs="宋体"/>
          <w:sz w:val="24"/>
        </w:rPr>
      </w:pPr>
      <w:r>
        <w:rPr>
          <w:rFonts w:hint="eastAsia" w:ascii="宋体" w:hAnsi="宋体" w:cs="宋体"/>
          <w:sz w:val="24"/>
        </w:rPr>
        <w:t xml:space="preserve">1.设备数采：本次项目海缆实验室计划接入7类20台设备（详见附件一），能够实现实验室数据的统一管理，确保数据完整性和一致性。  </w:t>
      </w:r>
    </w:p>
    <w:p>
      <w:pPr>
        <w:spacing w:line="360" w:lineRule="auto"/>
        <w:ind w:firstLine="480" w:firstLineChars="200"/>
        <w:rPr>
          <w:rFonts w:hint="eastAsia" w:ascii="宋体" w:hAnsi="宋体" w:cs="宋体"/>
          <w:sz w:val="24"/>
        </w:rPr>
      </w:pPr>
      <w:r>
        <w:rPr>
          <w:rFonts w:hint="eastAsia" w:ascii="宋体" w:hAnsi="宋体" w:cs="宋体"/>
          <w:sz w:val="24"/>
        </w:rPr>
        <w:t xml:space="preserve">2.流程打通：系统需包括电缆原材料、半成品、成品、外协、研发五个模块的送样、到样登记、核对样品信息、检测实施、原始记录录入、数据处理&amp;提交、报告生产&amp;签发等流程，能够规范实验室操作流程，提高工作效率。报告自动化：实现原始记录电子化，自动生成检测报告，减少人工操作。合规性支持：满足ISO/IEC 17025等实验室管理标准要求。    </w:t>
      </w:r>
    </w:p>
    <w:p>
      <w:pPr>
        <w:spacing w:line="360" w:lineRule="auto"/>
        <w:ind w:firstLine="480" w:firstLineChars="200"/>
        <w:rPr>
          <w:rFonts w:hint="eastAsia" w:ascii="宋体" w:hAnsi="宋体" w:cs="宋体"/>
          <w:sz w:val="24"/>
        </w:rPr>
      </w:pPr>
      <w:r>
        <w:rPr>
          <w:rFonts w:hint="eastAsia" w:ascii="宋体" w:hAnsi="宋体" w:cs="宋体"/>
          <w:sz w:val="24"/>
        </w:rPr>
        <w:t xml:space="preserve">3.系统集成：与公司现有MES、QMS等系统无缝集成，实现数据共享。  </w:t>
      </w:r>
    </w:p>
    <w:p>
      <w:pPr>
        <w:spacing w:line="360" w:lineRule="auto"/>
        <w:ind w:firstLine="480" w:firstLineChars="200"/>
        <w:rPr>
          <w:rFonts w:hint="eastAsia" w:ascii="宋体" w:hAnsi="宋体" w:cs="宋体"/>
          <w:sz w:val="24"/>
        </w:rPr>
      </w:pPr>
      <w:r>
        <w:rPr>
          <w:rFonts w:hint="eastAsia" w:ascii="宋体" w:hAnsi="宋体" w:cs="宋体"/>
          <w:sz w:val="24"/>
        </w:rPr>
        <w:t xml:space="preserve">4.数据分析：支持样品进度报表、检测项目数据报表、设备使用记录、样品领用记录等报表管理功能以及合格率统计、SPC控制图、正态分布图等统计分析功能，支持管理决策。数据可追溯性，实现电缆样品检测数据的全生命周期管理，支持快速追溯。  </w:t>
      </w:r>
    </w:p>
    <w:p>
      <w:pPr>
        <w:spacing w:line="360" w:lineRule="auto"/>
        <w:ind w:firstLine="480" w:firstLineChars="200"/>
        <w:rPr>
          <w:rFonts w:hint="eastAsia" w:ascii="宋体" w:hAnsi="宋体" w:cs="宋体"/>
          <w:sz w:val="24"/>
        </w:rPr>
      </w:pPr>
      <w:r>
        <w:rPr>
          <w:rFonts w:hint="eastAsia" w:ascii="宋体" w:hAnsi="宋体" w:cs="宋体"/>
          <w:sz w:val="24"/>
        </w:rPr>
        <w:t>5.</w:t>
      </w:r>
      <w:r>
        <w:rPr>
          <w:rFonts w:hint="eastAsia" w:ascii="宋体" w:hAnsi="宋体" w:cs="宋体"/>
          <w:color w:val="000000"/>
          <w:sz w:val="24"/>
        </w:rPr>
        <w:t>系统架构：</w:t>
      </w:r>
      <w:r>
        <w:rPr>
          <w:rFonts w:hint="eastAsia" w:ascii="宋体" w:hAnsi="宋体" w:cs="宋体"/>
          <w:sz w:val="24"/>
        </w:rPr>
        <w:t xml:space="preserve">为保证后期系统推广宜兴总部远东电缆、安缆、远东电缆（宜宾）检测实验室，采用分布式系统与数据库，实现负载均衡，能依子公司业务量动态增加服务器资源，应对数据量增长。 </w:t>
      </w:r>
    </w:p>
    <w:p>
      <w:pPr>
        <w:pStyle w:val="30"/>
        <w:numPr>
          <w:ilvl w:val="0"/>
          <w:numId w:val="0"/>
        </w:numPr>
        <w:ind w:left="576" w:hanging="576"/>
      </w:pPr>
      <w:bookmarkStart w:id="95" w:name="_Toc202442833"/>
      <w:bookmarkStart w:id="96" w:name="_Toc1117"/>
      <w:r>
        <w:rPr>
          <w:rFonts w:hint="eastAsia"/>
        </w:rPr>
        <w:t>1.3项目需求</w:t>
      </w:r>
      <w:bookmarkEnd w:id="93"/>
      <w:bookmarkEnd w:id="94"/>
      <w:bookmarkEnd w:id="95"/>
      <w:bookmarkEnd w:id="96"/>
    </w:p>
    <w:p>
      <w:pPr>
        <w:pStyle w:val="27"/>
        <w:tabs>
          <w:tab w:val="left" w:pos="0"/>
        </w:tabs>
        <w:spacing w:line="360" w:lineRule="auto"/>
        <w:ind w:firstLine="0" w:firstLineChars="0"/>
        <w:rPr>
          <w:rFonts w:hint="eastAsia" w:ascii="宋体" w:hAnsi="宋体"/>
          <w:b/>
          <w:bCs/>
          <w:sz w:val="24"/>
        </w:rPr>
      </w:pPr>
      <w:r>
        <w:rPr>
          <w:rFonts w:hint="eastAsia" w:ascii="宋体" w:hAnsi="宋体"/>
          <w:b/>
          <w:bCs/>
          <w:sz w:val="24"/>
        </w:rPr>
        <w:t>1.3.1 设备数采</w:t>
      </w:r>
    </w:p>
    <w:p>
      <w:pPr>
        <w:pStyle w:val="27"/>
        <w:tabs>
          <w:tab w:val="left" w:pos="0"/>
        </w:tabs>
        <w:spacing w:line="360" w:lineRule="auto"/>
        <w:ind w:firstLine="480"/>
        <w:rPr>
          <w:rFonts w:hint="eastAsia" w:ascii="宋体" w:hAnsi="宋体"/>
          <w:sz w:val="24"/>
        </w:rPr>
      </w:pPr>
      <w:r>
        <w:rPr>
          <w:rFonts w:hint="eastAsia" w:ascii="宋体" w:hAnsi="宋体"/>
          <w:sz w:val="24"/>
        </w:rPr>
        <w:t>本次海缆计划接入7类20台设备，通过增加硬件及软件配置，以有线/无线网络为载体能实现设备的实时检测数据信息采集到LIMS系统，设备清单分类大体如下：</w:t>
      </w:r>
    </w:p>
    <w:p>
      <w:pPr>
        <w:pStyle w:val="27"/>
        <w:tabs>
          <w:tab w:val="left" w:pos="0"/>
        </w:tabs>
        <w:spacing w:line="360" w:lineRule="auto"/>
        <w:ind w:firstLine="480"/>
        <w:rPr>
          <w:rFonts w:hint="eastAsia" w:ascii="宋体" w:hAnsi="宋体"/>
          <w:sz w:val="24"/>
        </w:rPr>
      </w:pP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5"/>
        <w:gridCol w:w="3276"/>
        <w:gridCol w:w="1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编号</w:t>
            </w:r>
          </w:p>
        </w:tc>
        <w:tc>
          <w:tcPr>
            <w:tcW w:w="3276"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设备类别</w:t>
            </w:r>
          </w:p>
        </w:tc>
        <w:tc>
          <w:tcPr>
            <w:tcW w:w="1739"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tcPr>
          <w:p>
            <w:pPr>
              <w:pStyle w:val="27"/>
              <w:tabs>
                <w:tab w:val="left" w:pos="0"/>
              </w:tabs>
              <w:spacing w:line="360" w:lineRule="auto"/>
              <w:ind w:firstLine="0" w:firstLineChars="0"/>
              <w:jc w:val="center"/>
              <w:rPr>
                <w:rFonts w:hint="eastAsia" w:ascii="宋体" w:hAnsi="宋体"/>
                <w:kern w:val="0"/>
                <w:sz w:val="24"/>
              </w:rPr>
            </w:pPr>
            <w:r>
              <w:rPr>
                <w:rFonts w:ascii="宋体" w:hAnsi="宋体"/>
                <w:kern w:val="0"/>
                <w:sz w:val="24"/>
              </w:rPr>
              <w:t>1</w:t>
            </w:r>
          </w:p>
        </w:tc>
        <w:tc>
          <w:tcPr>
            <w:tcW w:w="3276" w:type="dxa"/>
          </w:tcPr>
          <w:p>
            <w:pPr>
              <w:pStyle w:val="27"/>
              <w:tabs>
                <w:tab w:val="left" w:pos="0"/>
              </w:tabs>
              <w:spacing w:line="360" w:lineRule="auto"/>
              <w:ind w:firstLine="0" w:firstLineChars="0"/>
              <w:jc w:val="center"/>
              <w:rPr>
                <w:rFonts w:hint="eastAsia" w:ascii="宋体" w:hAnsi="宋体"/>
                <w:kern w:val="0"/>
                <w:sz w:val="24"/>
              </w:rPr>
            </w:pPr>
            <w:r>
              <w:rPr>
                <w:rFonts w:ascii="宋体" w:hAnsi="宋体"/>
                <w:kern w:val="0"/>
                <w:sz w:val="24"/>
              </w:rPr>
              <w:t>拉力机</w:t>
            </w:r>
          </w:p>
        </w:tc>
        <w:tc>
          <w:tcPr>
            <w:tcW w:w="1739"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tcPr>
          <w:p>
            <w:pPr>
              <w:pStyle w:val="27"/>
              <w:tabs>
                <w:tab w:val="left" w:pos="0"/>
              </w:tabs>
              <w:spacing w:line="360" w:lineRule="auto"/>
              <w:ind w:firstLine="0" w:firstLineChars="0"/>
              <w:jc w:val="center"/>
              <w:rPr>
                <w:rFonts w:hint="eastAsia" w:ascii="宋体" w:hAnsi="宋体"/>
                <w:kern w:val="0"/>
                <w:sz w:val="24"/>
              </w:rPr>
            </w:pPr>
            <w:r>
              <w:rPr>
                <w:rFonts w:ascii="宋体" w:hAnsi="宋体"/>
                <w:kern w:val="0"/>
                <w:sz w:val="24"/>
              </w:rPr>
              <w:t>2</w:t>
            </w:r>
          </w:p>
        </w:tc>
        <w:tc>
          <w:tcPr>
            <w:tcW w:w="3276"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电气性能</w:t>
            </w:r>
          </w:p>
        </w:tc>
        <w:tc>
          <w:tcPr>
            <w:tcW w:w="1739"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3</w:t>
            </w:r>
          </w:p>
        </w:tc>
        <w:tc>
          <w:tcPr>
            <w:tcW w:w="3276"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疲劳强度测试</w:t>
            </w:r>
          </w:p>
        </w:tc>
        <w:tc>
          <w:tcPr>
            <w:tcW w:w="1739"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4</w:t>
            </w:r>
          </w:p>
        </w:tc>
        <w:tc>
          <w:tcPr>
            <w:tcW w:w="3276"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温度测量</w:t>
            </w:r>
          </w:p>
        </w:tc>
        <w:tc>
          <w:tcPr>
            <w:tcW w:w="1739"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5</w:t>
            </w:r>
          </w:p>
        </w:tc>
        <w:tc>
          <w:tcPr>
            <w:tcW w:w="3276"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电阻测试</w:t>
            </w:r>
          </w:p>
        </w:tc>
        <w:tc>
          <w:tcPr>
            <w:tcW w:w="1739"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6</w:t>
            </w:r>
          </w:p>
        </w:tc>
        <w:tc>
          <w:tcPr>
            <w:tcW w:w="3276"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几何参数测试</w:t>
            </w:r>
          </w:p>
        </w:tc>
        <w:tc>
          <w:tcPr>
            <w:tcW w:w="1739"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5"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7</w:t>
            </w:r>
          </w:p>
        </w:tc>
        <w:tc>
          <w:tcPr>
            <w:tcW w:w="3276"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其他</w:t>
            </w:r>
          </w:p>
        </w:tc>
        <w:tc>
          <w:tcPr>
            <w:tcW w:w="1739" w:type="dxa"/>
          </w:tcPr>
          <w:p>
            <w:pPr>
              <w:pStyle w:val="27"/>
              <w:tabs>
                <w:tab w:val="left" w:pos="0"/>
              </w:tabs>
              <w:spacing w:line="360" w:lineRule="auto"/>
              <w:ind w:firstLine="0" w:firstLineChars="0"/>
              <w:jc w:val="center"/>
              <w:rPr>
                <w:rFonts w:hint="eastAsia" w:ascii="宋体" w:hAnsi="宋体"/>
                <w:kern w:val="0"/>
                <w:sz w:val="24"/>
              </w:rPr>
            </w:pPr>
            <w:r>
              <w:rPr>
                <w:rFonts w:hint="eastAsia" w:ascii="宋体" w:hAnsi="宋体"/>
                <w:kern w:val="0"/>
                <w:sz w:val="24"/>
              </w:rPr>
              <w:t>3</w:t>
            </w:r>
          </w:p>
        </w:tc>
      </w:tr>
    </w:tbl>
    <w:p>
      <w:pPr>
        <w:pStyle w:val="27"/>
        <w:tabs>
          <w:tab w:val="left" w:pos="0"/>
        </w:tabs>
        <w:spacing w:line="360" w:lineRule="auto"/>
        <w:ind w:firstLine="480"/>
        <w:rPr>
          <w:rFonts w:hint="eastAsia" w:ascii="宋体" w:hAnsi="宋体"/>
          <w:sz w:val="24"/>
        </w:rPr>
      </w:pPr>
    </w:p>
    <w:p>
      <w:pPr>
        <w:pStyle w:val="27"/>
        <w:tabs>
          <w:tab w:val="left" w:pos="0"/>
        </w:tabs>
        <w:spacing w:line="360" w:lineRule="auto"/>
        <w:ind w:firstLine="0" w:firstLineChars="0"/>
        <w:rPr>
          <w:rFonts w:hint="eastAsia" w:ascii="宋体" w:hAnsi="宋体"/>
          <w:b/>
          <w:bCs/>
          <w:sz w:val="24"/>
        </w:rPr>
      </w:pPr>
      <w:r>
        <w:rPr>
          <w:rFonts w:hint="eastAsia" w:ascii="宋体" w:hAnsi="宋体"/>
          <w:b/>
          <w:bCs/>
          <w:sz w:val="24"/>
        </w:rPr>
        <w:t>1.3.2 流程打通</w:t>
      </w:r>
    </w:p>
    <w:p>
      <w:pPr>
        <w:spacing w:line="360" w:lineRule="auto"/>
        <w:rPr>
          <w:rFonts w:hint="eastAsia" w:ascii="宋体" w:hAnsi="宋体" w:cs="宋体"/>
          <w:sz w:val="24"/>
        </w:rPr>
      </w:pPr>
      <w:r>
        <w:rPr>
          <w:rFonts w:hint="eastAsia" w:ascii="宋体" w:hAnsi="宋体" w:cs="宋体"/>
          <w:sz w:val="24"/>
        </w:rPr>
        <w:t xml:space="preserve">1. 样品管理：  </w:t>
      </w:r>
    </w:p>
    <w:p>
      <w:pPr>
        <w:spacing w:line="360" w:lineRule="auto"/>
        <w:rPr>
          <w:rFonts w:hint="eastAsia" w:ascii="宋体" w:hAnsi="宋体" w:cs="宋体"/>
          <w:sz w:val="24"/>
        </w:rPr>
      </w:pPr>
      <w:r>
        <w:rPr>
          <w:rFonts w:hint="eastAsia" w:ascii="宋体" w:hAnsi="宋体" w:cs="宋体"/>
          <w:sz w:val="24"/>
        </w:rPr>
        <w:t xml:space="preserve">   - 样品登记、标识、追踪；  </w:t>
      </w:r>
    </w:p>
    <w:p>
      <w:pPr>
        <w:spacing w:line="360" w:lineRule="auto"/>
        <w:rPr>
          <w:rFonts w:hint="eastAsia" w:ascii="宋体" w:hAnsi="宋体" w:cs="宋体"/>
          <w:sz w:val="24"/>
        </w:rPr>
      </w:pPr>
      <w:r>
        <w:rPr>
          <w:rFonts w:hint="eastAsia" w:ascii="宋体" w:hAnsi="宋体" w:cs="宋体"/>
          <w:sz w:val="24"/>
        </w:rPr>
        <w:t xml:space="preserve">   - 样品状态实时更新。  </w:t>
      </w:r>
    </w:p>
    <w:p>
      <w:pPr>
        <w:spacing w:line="360" w:lineRule="auto"/>
        <w:rPr>
          <w:rFonts w:hint="eastAsia" w:ascii="宋体" w:hAnsi="宋体" w:cs="宋体"/>
          <w:sz w:val="24"/>
        </w:rPr>
      </w:pPr>
      <w:r>
        <w:rPr>
          <w:rFonts w:hint="eastAsia" w:ascii="宋体" w:hAnsi="宋体" w:cs="宋体"/>
          <w:sz w:val="24"/>
        </w:rPr>
        <w:t xml:space="preserve">2. 检测任务管理：   </w:t>
      </w:r>
    </w:p>
    <w:p>
      <w:pPr>
        <w:spacing w:line="360" w:lineRule="auto"/>
        <w:rPr>
          <w:rFonts w:hint="eastAsia" w:ascii="宋体" w:hAnsi="宋体" w:cs="宋体"/>
          <w:sz w:val="24"/>
        </w:rPr>
      </w:pPr>
      <w:r>
        <w:rPr>
          <w:rFonts w:hint="eastAsia" w:ascii="宋体" w:hAnsi="宋体" w:cs="宋体"/>
          <w:sz w:val="24"/>
        </w:rPr>
        <w:t xml:space="preserve">   - 检测结果录入与审核。 </w:t>
      </w:r>
    </w:p>
    <w:p>
      <w:pPr>
        <w:spacing w:line="360" w:lineRule="auto"/>
        <w:rPr>
          <w:rFonts w:hint="eastAsia" w:ascii="宋体" w:hAnsi="宋体" w:cs="宋体"/>
          <w:sz w:val="24"/>
        </w:rPr>
      </w:pPr>
      <w:r>
        <w:rPr>
          <w:rFonts w:hint="eastAsia" w:ascii="宋体" w:hAnsi="宋体" w:cs="宋体"/>
          <w:sz w:val="24"/>
        </w:rPr>
        <w:t xml:space="preserve">3. 数据管理：  </w:t>
      </w:r>
    </w:p>
    <w:p>
      <w:pPr>
        <w:spacing w:line="360" w:lineRule="auto"/>
        <w:rPr>
          <w:rFonts w:hint="eastAsia" w:ascii="宋体" w:hAnsi="宋体" w:cs="宋体"/>
          <w:sz w:val="24"/>
        </w:rPr>
      </w:pPr>
      <w:r>
        <w:rPr>
          <w:rFonts w:hint="eastAsia" w:ascii="宋体" w:hAnsi="宋体" w:cs="宋体"/>
          <w:sz w:val="24"/>
        </w:rPr>
        <w:t xml:space="preserve">   - 数据存储、查询、分析；  </w:t>
      </w:r>
    </w:p>
    <w:p>
      <w:pPr>
        <w:spacing w:line="360" w:lineRule="auto"/>
        <w:rPr>
          <w:rFonts w:hint="eastAsia" w:ascii="宋体" w:hAnsi="宋体" w:cs="宋体"/>
          <w:sz w:val="24"/>
        </w:rPr>
      </w:pPr>
      <w:r>
        <w:rPr>
          <w:rFonts w:hint="eastAsia" w:ascii="宋体" w:hAnsi="宋体" w:cs="宋体"/>
          <w:sz w:val="24"/>
        </w:rPr>
        <w:t xml:space="preserve">   - 数据备份与恢复；  </w:t>
      </w:r>
    </w:p>
    <w:p>
      <w:pPr>
        <w:spacing w:line="360" w:lineRule="auto"/>
        <w:rPr>
          <w:rFonts w:hint="eastAsia" w:ascii="宋体" w:hAnsi="宋体" w:cs="宋体"/>
          <w:sz w:val="24"/>
        </w:rPr>
      </w:pPr>
      <w:r>
        <w:rPr>
          <w:rFonts w:hint="eastAsia" w:ascii="宋体" w:hAnsi="宋体" w:cs="宋体"/>
          <w:sz w:val="24"/>
        </w:rPr>
        <w:t xml:space="preserve">   - 数据版本控制。  </w:t>
      </w:r>
    </w:p>
    <w:p>
      <w:pPr>
        <w:spacing w:line="360" w:lineRule="auto"/>
        <w:rPr>
          <w:rFonts w:hint="eastAsia" w:ascii="宋体" w:hAnsi="宋体" w:cs="宋体"/>
          <w:sz w:val="24"/>
        </w:rPr>
      </w:pPr>
      <w:r>
        <w:rPr>
          <w:rFonts w:hint="eastAsia" w:ascii="宋体" w:hAnsi="宋体" w:cs="宋体"/>
          <w:sz w:val="24"/>
        </w:rPr>
        <w:t xml:space="preserve">4. 报告管理：  </w:t>
      </w:r>
    </w:p>
    <w:p>
      <w:pPr>
        <w:spacing w:line="360" w:lineRule="auto"/>
        <w:rPr>
          <w:rFonts w:hint="eastAsia" w:ascii="宋体" w:hAnsi="宋体" w:cs="宋体"/>
          <w:sz w:val="24"/>
        </w:rPr>
      </w:pPr>
      <w:r>
        <w:rPr>
          <w:rFonts w:hint="eastAsia" w:ascii="宋体" w:hAnsi="宋体" w:cs="宋体"/>
          <w:sz w:val="24"/>
        </w:rPr>
        <w:t xml:space="preserve">   - 自动生成检测报告；  </w:t>
      </w:r>
    </w:p>
    <w:p>
      <w:pPr>
        <w:spacing w:line="360" w:lineRule="auto"/>
        <w:rPr>
          <w:rFonts w:hint="eastAsia" w:ascii="宋体" w:hAnsi="宋体" w:cs="宋体"/>
          <w:sz w:val="24"/>
        </w:rPr>
      </w:pPr>
      <w:r>
        <w:rPr>
          <w:rFonts w:hint="eastAsia" w:ascii="宋体" w:hAnsi="宋体" w:cs="宋体"/>
          <w:sz w:val="24"/>
        </w:rPr>
        <w:t xml:space="preserve">   - 报告模板自定义；  </w:t>
      </w:r>
    </w:p>
    <w:p>
      <w:pPr>
        <w:spacing w:line="360" w:lineRule="auto"/>
        <w:rPr>
          <w:rFonts w:hint="eastAsia" w:ascii="宋体" w:hAnsi="宋体" w:cs="宋体"/>
          <w:sz w:val="24"/>
        </w:rPr>
      </w:pPr>
      <w:r>
        <w:rPr>
          <w:rFonts w:hint="eastAsia" w:ascii="宋体" w:hAnsi="宋体" w:cs="宋体"/>
          <w:sz w:val="24"/>
        </w:rPr>
        <w:t xml:space="preserve">   - 报告审核与发布。  </w:t>
      </w:r>
    </w:p>
    <w:p>
      <w:pPr>
        <w:spacing w:line="360" w:lineRule="auto"/>
        <w:rPr>
          <w:rFonts w:hint="eastAsia" w:ascii="宋体" w:hAnsi="宋体" w:cs="宋体"/>
          <w:sz w:val="24"/>
        </w:rPr>
      </w:pPr>
      <w:r>
        <w:rPr>
          <w:rFonts w:hint="eastAsia" w:ascii="宋体" w:hAnsi="宋体" w:cs="宋体"/>
          <w:sz w:val="24"/>
        </w:rPr>
        <w:t xml:space="preserve">5. 仪器集成：  </w:t>
      </w:r>
    </w:p>
    <w:p>
      <w:pPr>
        <w:spacing w:line="360" w:lineRule="auto"/>
        <w:rPr>
          <w:rFonts w:hint="eastAsia" w:ascii="宋体" w:hAnsi="宋体" w:cs="宋体"/>
          <w:sz w:val="24"/>
        </w:rPr>
      </w:pPr>
      <w:r>
        <w:rPr>
          <w:rFonts w:hint="eastAsia" w:ascii="宋体" w:hAnsi="宋体" w:cs="宋体"/>
          <w:sz w:val="24"/>
        </w:rPr>
        <w:t xml:space="preserve">   - 支持与实验室仪器数据对接；  </w:t>
      </w:r>
    </w:p>
    <w:p>
      <w:pPr>
        <w:spacing w:line="360" w:lineRule="auto"/>
        <w:rPr>
          <w:rFonts w:hint="eastAsia" w:ascii="宋体" w:hAnsi="宋体" w:cs="宋体"/>
          <w:sz w:val="24"/>
        </w:rPr>
      </w:pPr>
      <w:r>
        <w:rPr>
          <w:rFonts w:hint="eastAsia" w:ascii="宋体" w:hAnsi="宋体" w:cs="宋体"/>
          <w:sz w:val="24"/>
        </w:rPr>
        <w:t xml:space="preserve">   - 自动采集仪器数据；  </w:t>
      </w:r>
    </w:p>
    <w:p>
      <w:pPr>
        <w:spacing w:line="360" w:lineRule="auto"/>
        <w:rPr>
          <w:rFonts w:hint="eastAsia" w:ascii="宋体" w:hAnsi="宋体" w:cs="宋体"/>
          <w:sz w:val="24"/>
        </w:rPr>
      </w:pPr>
      <w:r>
        <w:rPr>
          <w:rFonts w:hint="eastAsia" w:ascii="宋体" w:hAnsi="宋体" w:cs="宋体"/>
          <w:sz w:val="24"/>
        </w:rPr>
        <w:t xml:space="preserve">   - 仪器校准和维护管理。  </w:t>
      </w:r>
    </w:p>
    <w:p>
      <w:pPr>
        <w:spacing w:line="360" w:lineRule="auto"/>
        <w:rPr>
          <w:rFonts w:hint="eastAsia" w:ascii="宋体" w:hAnsi="宋体" w:cs="宋体"/>
          <w:sz w:val="24"/>
        </w:rPr>
      </w:pPr>
      <w:r>
        <w:rPr>
          <w:rFonts w:hint="eastAsia" w:ascii="宋体" w:hAnsi="宋体" w:cs="宋体"/>
          <w:sz w:val="24"/>
        </w:rPr>
        <w:t xml:space="preserve">6. 质量控制：  </w:t>
      </w:r>
    </w:p>
    <w:p>
      <w:pPr>
        <w:spacing w:line="360" w:lineRule="auto"/>
        <w:rPr>
          <w:rFonts w:hint="eastAsia" w:ascii="宋体" w:hAnsi="宋体" w:cs="宋体"/>
          <w:sz w:val="24"/>
        </w:rPr>
      </w:pPr>
      <w:r>
        <w:rPr>
          <w:rFonts w:hint="eastAsia" w:ascii="宋体" w:hAnsi="宋体" w:cs="宋体"/>
          <w:sz w:val="24"/>
        </w:rPr>
        <w:t xml:space="preserve">   - 支持质控样品管理；  </w:t>
      </w:r>
    </w:p>
    <w:p>
      <w:pPr>
        <w:spacing w:line="360" w:lineRule="auto"/>
        <w:rPr>
          <w:rFonts w:hint="eastAsia" w:ascii="宋体" w:hAnsi="宋体" w:cs="宋体"/>
          <w:sz w:val="24"/>
        </w:rPr>
      </w:pPr>
      <w:r>
        <w:rPr>
          <w:rFonts w:hint="eastAsia" w:ascii="宋体" w:hAnsi="宋体" w:cs="宋体"/>
          <w:sz w:val="24"/>
        </w:rPr>
        <w:t xml:space="preserve">   - 质控数据分析与预警；  </w:t>
      </w:r>
    </w:p>
    <w:p>
      <w:pPr>
        <w:spacing w:line="360" w:lineRule="auto"/>
        <w:ind w:firstLine="420"/>
        <w:rPr>
          <w:rFonts w:hint="eastAsia" w:ascii="宋体" w:hAnsi="宋体" w:cs="宋体"/>
          <w:sz w:val="24"/>
        </w:rPr>
      </w:pPr>
      <w:r>
        <w:rPr>
          <w:rFonts w:hint="eastAsia" w:ascii="宋体" w:hAnsi="宋体" w:cs="宋体"/>
          <w:sz w:val="24"/>
        </w:rPr>
        <w:t>- 质控报告生成。</w:t>
      </w:r>
    </w:p>
    <w:p>
      <w:pPr>
        <w:pStyle w:val="27"/>
        <w:tabs>
          <w:tab w:val="left" w:pos="0"/>
        </w:tabs>
        <w:spacing w:line="360" w:lineRule="auto"/>
        <w:ind w:firstLine="0" w:firstLineChars="0"/>
        <w:rPr>
          <w:rFonts w:hint="eastAsia" w:ascii="宋体" w:hAnsi="宋体"/>
          <w:b/>
          <w:bCs/>
          <w:sz w:val="24"/>
        </w:rPr>
      </w:pPr>
      <w:r>
        <w:rPr>
          <w:rFonts w:hint="eastAsia" w:ascii="宋体" w:hAnsi="宋体"/>
          <w:b/>
          <w:bCs/>
          <w:sz w:val="24"/>
        </w:rPr>
        <w:t>1.3.3 系统集成</w:t>
      </w:r>
    </w:p>
    <w:p>
      <w:pPr>
        <w:pStyle w:val="27"/>
        <w:tabs>
          <w:tab w:val="left" w:pos="0"/>
        </w:tabs>
        <w:spacing w:line="360" w:lineRule="auto"/>
        <w:ind w:firstLine="480"/>
        <w:rPr>
          <w:rFonts w:ascii="Segoe UI" w:hAnsi="Segoe UI" w:cs="Segoe UI"/>
          <w:sz w:val="16"/>
          <w:szCs w:val="16"/>
          <w:shd w:val="clear" w:color="auto" w:fill="FFFFFF"/>
        </w:rPr>
      </w:pPr>
      <w:r>
        <w:rPr>
          <w:rFonts w:hint="eastAsia" w:ascii="宋体" w:hAnsi="宋体"/>
          <w:sz w:val="24"/>
        </w:rPr>
        <w:t>1.与MES集成：</w:t>
      </w:r>
      <w:r>
        <w:rPr>
          <w:rFonts w:hint="eastAsia" w:ascii="宋体" w:hAnsi="宋体" w:cs="宋体"/>
          <w:sz w:val="24"/>
          <w:shd w:val="clear" w:color="auto" w:fill="FFFFFF"/>
        </w:rPr>
        <w:t>MES 将送检单和检测项目信息传递给LIMS，LIMS根据这些信息自动生成相应的检测计划和任务，确保检测工作与生产流程紧密配合，实现生产过程数据和检测数据的双向流通；在产品质量控制环节，LIMS与MES协同工作。</w:t>
      </w:r>
    </w:p>
    <w:p>
      <w:pPr>
        <w:pStyle w:val="27"/>
        <w:tabs>
          <w:tab w:val="left" w:pos="0"/>
        </w:tabs>
        <w:spacing w:line="360" w:lineRule="auto"/>
        <w:ind w:firstLine="480"/>
        <w:rPr>
          <w:rFonts w:hint="eastAsia" w:ascii="宋体" w:hAnsi="宋体" w:cs="宋体"/>
          <w:sz w:val="24"/>
          <w:shd w:val="clear" w:color="auto" w:fill="FFFFFF"/>
        </w:rPr>
      </w:pPr>
      <w:r>
        <w:rPr>
          <w:rFonts w:hint="eastAsia" w:ascii="宋体" w:hAnsi="宋体" w:cs="宋体"/>
          <w:sz w:val="24"/>
          <w:shd w:val="clear" w:color="auto" w:fill="FFFFFF"/>
        </w:rPr>
        <w:t>2.与QMS集成：QMS中的质量标准和检验规范同步到LIMS，LIMS根据这些标准自动生成检测方案和报告模板，确保检测工作按照统一的质量标准进行；LIMS将检测数据上传至QMS，QMS对这些数据进行汇总、分析和统计，生成各种质量报表和图表，如质量趋势图、不合格品分布图等，全面了解产品质量状况，发现质量问题的潜在原因；通过集成，实现产品质量的全程追溯。</w:t>
      </w:r>
    </w:p>
    <w:p>
      <w:pPr>
        <w:pStyle w:val="27"/>
        <w:tabs>
          <w:tab w:val="left" w:pos="0"/>
        </w:tabs>
        <w:spacing w:line="360" w:lineRule="auto"/>
        <w:ind w:firstLine="480"/>
        <w:rPr>
          <w:rFonts w:hint="eastAsia" w:ascii="宋体" w:hAnsi="宋体" w:cs="宋体"/>
          <w:sz w:val="24"/>
          <w:shd w:val="clear" w:color="auto" w:fill="FFFFFF"/>
        </w:rPr>
      </w:pPr>
      <w:r>
        <w:rPr>
          <w:rFonts w:hint="eastAsia" w:ascii="宋体" w:hAnsi="宋体" w:cs="宋体"/>
          <w:sz w:val="24"/>
          <w:shd w:val="clear" w:color="auto" w:fill="FFFFFF"/>
        </w:rPr>
        <w:t>3.与其他系统集成。</w:t>
      </w:r>
    </w:p>
    <w:p>
      <w:pPr>
        <w:pStyle w:val="27"/>
        <w:tabs>
          <w:tab w:val="left" w:pos="0"/>
        </w:tabs>
        <w:spacing w:line="360" w:lineRule="auto"/>
        <w:ind w:firstLine="0" w:firstLineChars="0"/>
        <w:rPr>
          <w:rFonts w:hint="eastAsia" w:ascii="宋体" w:hAnsi="宋体"/>
          <w:b/>
          <w:bCs/>
          <w:sz w:val="24"/>
        </w:rPr>
      </w:pPr>
      <w:r>
        <w:rPr>
          <w:rFonts w:hint="eastAsia" w:ascii="宋体" w:hAnsi="宋体"/>
          <w:b/>
          <w:bCs/>
          <w:sz w:val="24"/>
        </w:rPr>
        <w:t>1.3.4 数据分析</w:t>
      </w:r>
    </w:p>
    <w:p>
      <w:pPr>
        <w:pStyle w:val="27"/>
        <w:tabs>
          <w:tab w:val="left" w:pos="0"/>
        </w:tabs>
        <w:spacing w:line="360" w:lineRule="auto"/>
        <w:ind w:firstLine="480"/>
        <w:rPr>
          <w:rFonts w:hint="eastAsia" w:ascii="宋体" w:hAnsi="宋体" w:cs="宋体"/>
          <w:sz w:val="24"/>
          <w:shd w:val="clear" w:color="auto" w:fill="FFFFFF"/>
        </w:rPr>
      </w:pPr>
      <w:r>
        <w:rPr>
          <w:rFonts w:hint="eastAsia" w:ascii="宋体" w:hAnsi="宋体"/>
          <w:sz w:val="24"/>
        </w:rPr>
        <w:t>1.统计分析功能：</w:t>
      </w:r>
      <w:r>
        <w:rPr>
          <w:rFonts w:hint="eastAsia" w:ascii="宋体" w:hAnsi="宋体" w:cs="宋体"/>
          <w:sz w:val="24"/>
          <w:shd w:val="clear" w:color="auto" w:fill="FFFFFF"/>
        </w:rPr>
        <w:t>LIMS具备丰富的统计分析功能，可对检测数据进行描述性统计、相关性分析、差异性分析、过程能力分析等。</w:t>
      </w:r>
    </w:p>
    <w:p>
      <w:pPr>
        <w:pStyle w:val="27"/>
        <w:tabs>
          <w:tab w:val="left" w:pos="0"/>
        </w:tabs>
        <w:spacing w:line="360" w:lineRule="auto"/>
        <w:ind w:firstLine="480"/>
        <w:rPr>
          <w:rFonts w:hint="eastAsia" w:ascii="宋体" w:hAnsi="宋体" w:cs="宋体"/>
          <w:sz w:val="24"/>
          <w:shd w:val="clear" w:color="auto" w:fill="FFFFFF"/>
        </w:rPr>
      </w:pPr>
      <w:r>
        <w:rPr>
          <w:rFonts w:hint="eastAsia" w:ascii="宋体" w:hAnsi="宋体" w:cs="宋体"/>
          <w:sz w:val="24"/>
          <w:shd w:val="clear" w:color="auto" w:fill="FFFFFF"/>
        </w:rPr>
        <w:t>2.数据可视化展示：将统计分析结果以直观的图表形式展示，如柱状图、波动曲线图、折线图、饼图、散点图、控制图等。可以根据需求选择合适的图表类型，清晰地展示数据分布、趋势和关系。</w:t>
      </w:r>
    </w:p>
    <w:p>
      <w:pPr>
        <w:pStyle w:val="27"/>
        <w:tabs>
          <w:tab w:val="left" w:pos="0"/>
        </w:tabs>
        <w:spacing w:line="360" w:lineRule="auto"/>
        <w:ind w:firstLine="0" w:firstLineChars="0"/>
        <w:rPr>
          <w:rFonts w:hint="eastAsia" w:ascii="宋体" w:hAnsi="宋体"/>
          <w:b/>
          <w:bCs/>
          <w:sz w:val="24"/>
        </w:rPr>
      </w:pPr>
      <w:r>
        <w:rPr>
          <w:rFonts w:hint="eastAsia" w:ascii="宋体" w:hAnsi="宋体"/>
          <w:b/>
          <w:bCs/>
          <w:sz w:val="24"/>
        </w:rPr>
        <w:t>1.3.5 其他功能</w:t>
      </w:r>
      <w:r>
        <w:rPr>
          <w:rFonts w:hint="eastAsia" w:ascii="宋体" w:hAnsi="宋体"/>
          <w:b/>
          <w:bCs/>
          <w:sz w:val="24"/>
        </w:rPr>
        <w:br w:type="textWrapping"/>
      </w:r>
      <w:r>
        <w:rPr>
          <w:rFonts w:hint="eastAsia" w:ascii="宋体" w:hAnsi="宋体"/>
          <w:b/>
          <w:bCs/>
          <w:sz w:val="24"/>
        </w:rPr>
        <w:tab/>
      </w:r>
      <w:r>
        <w:rPr>
          <w:rFonts w:hint="eastAsia" w:ascii="宋体" w:hAnsi="宋体"/>
          <w:sz w:val="24"/>
        </w:rPr>
        <w:t>其他功能详见附件二（总体功能要求）</w:t>
      </w:r>
    </w:p>
    <w:p>
      <w:pPr>
        <w:pStyle w:val="27"/>
        <w:tabs>
          <w:tab w:val="left" w:pos="0"/>
        </w:tabs>
        <w:spacing w:line="360" w:lineRule="auto"/>
        <w:ind w:firstLine="0" w:firstLineChars="0"/>
        <w:rPr>
          <w:rFonts w:hint="eastAsia" w:ascii="宋体" w:hAnsi="宋体"/>
          <w:b/>
          <w:bCs/>
          <w:sz w:val="24"/>
        </w:rPr>
      </w:pPr>
      <w:r>
        <w:rPr>
          <w:rFonts w:hint="eastAsia" w:ascii="宋体" w:hAnsi="宋体"/>
          <w:b/>
          <w:bCs/>
          <w:sz w:val="24"/>
        </w:rPr>
        <w:t>1.3.6 系统架构</w:t>
      </w:r>
    </w:p>
    <w:p>
      <w:pPr>
        <w:pStyle w:val="27"/>
        <w:tabs>
          <w:tab w:val="left" w:pos="0"/>
        </w:tabs>
        <w:spacing w:line="360" w:lineRule="auto"/>
        <w:ind w:firstLine="480"/>
        <w:rPr>
          <w:rFonts w:hint="eastAsia" w:ascii="宋体" w:hAnsi="宋体"/>
          <w:sz w:val="24"/>
        </w:rPr>
      </w:pPr>
      <w:r>
        <w:rPr>
          <w:rFonts w:hint="eastAsia" w:ascii="宋体" w:hAnsi="宋体"/>
          <w:sz w:val="24"/>
        </w:rPr>
        <w:t>实际功能依业务要求为准</w:t>
      </w:r>
    </w:p>
    <w:p>
      <w:pPr>
        <w:spacing w:line="360" w:lineRule="auto"/>
        <w:jc w:val="left"/>
        <w:rPr>
          <w:rFonts w:hint="eastAsia" w:ascii="宋体" w:hAnsi="宋体" w:cs="宋体"/>
          <w:sz w:val="24"/>
        </w:rPr>
      </w:pPr>
      <w:r>
        <w:drawing>
          <wp:inline distT="0" distB="0" distL="0" distR="0">
            <wp:extent cx="5723890" cy="2640965"/>
            <wp:effectExtent l="0" t="0" r="0" b="6985"/>
            <wp:docPr id="12886186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8618621" name="图片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723890" cy="2640965"/>
                    </a:xfrm>
                    <a:prstGeom prst="rect">
                      <a:avLst/>
                    </a:prstGeom>
                    <a:noFill/>
                    <a:ln>
                      <a:noFill/>
                    </a:ln>
                  </pic:spPr>
                </pic:pic>
              </a:graphicData>
            </a:graphic>
          </wp:inline>
        </w:drawing>
      </w:r>
      <w:r>
        <w:rPr>
          <w:rFonts w:hint="eastAsia" w:ascii="宋体" w:hAnsi="宋体" w:cs="宋体"/>
          <w:sz w:val="24"/>
        </w:rPr>
        <w:br w:type="textWrapping"/>
      </w:r>
      <w:r>
        <w:rPr>
          <w:rFonts w:hint="eastAsia" w:ascii="宋体" w:hAnsi="宋体" w:cs="宋体"/>
          <w:sz w:val="24"/>
        </w:rPr>
        <w:t>1.分布式架构</w:t>
      </w:r>
    </w:p>
    <w:p>
      <w:pPr>
        <w:pStyle w:val="27"/>
        <w:tabs>
          <w:tab w:val="left" w:pos="0"/>
        </w:tabs>
        <w:spacing w:line="360" w:lineRule="auto"/>
        <w:ind w:firstLine="480"/>
        <w:rPr>
          <w:rFonts w:hint="eastAsia" w:ascii="宋体" w:hAnsi="宋体" w:cs="宋体"/>
          <w:sz w:val="24"/>
        </w:rPr>
      </w:pPr>
      <w:r>
        <w:rPr>
          <w:rFonts w:hint="eastAsia" w:ascii="宋体" w:hAnsi="宋体" w:cs="宋体"/>
          <w:sz w:val="24"/>
        </w:rPr>
        <w:t>为保证后期系统推广宜兴总部远东电缆、安缆、远东电缆（宜宾）实验室，采用分布式系统与数据库，实现负载均衡，能依子公司业务量动态增加服务器资源，应对数据量增长。</w:t>
      </w:r>
    </w:p>
    <w:p>
      <w:pPr>
        <w:pStyle w:val="27"/>
        <w:tabs>
          <w:tab w:val="left" w:pos="0"/>
        </w:tabs>
        <w:spacing w:line="360" w:lineRule="auto"/>
        <w:ind w:firstLine="0" w:firstLineChars="0"/>
        <w:rPr>
          <w:rFonts w:hint="eastAsia" w:ascii="宋体" w:hAnsi="宋体" w:cs="宋体"/>
          <w:sz w:val="24"/>
        </w:rPr>
      </w:pPr>
      <w:r>
        <w:rPr>
          <w:rFonts w:hint="eastAsia" w:ascii="宋体" w:hAnsi="宋体" w:cs="宋体"/>
          <w:sz w:val="24"/>
        </w:rPr>
        <w:t>2.模块化设计</w:t>
      </w:r>
    </w:p>
    <w:p>
      <w:pPr>
        <w:pStyle w:val="27"/>
        <w:tabs>
          <w:tab w:val="left" w:pos="0"/>
        </w:tabs>
        <w:spacing w:line="360" w:lineRule="auto"/>
        <w:ind w:firstLine="480"/>
        <w:rPr>
          <w:rFonts w:hint="eastAsia" w:ascii="宋体" w:hAnsi="宋体" w:cs="宋体"/>
          <w:sz w:val="24"/>
        </w:rPr>
      </w:pPr>
      <w:r>
        <w:rPr>
          <w:rFonts w:hint="eastAsia" w:ascii="宋体" w:hAnsi="宋体" w:cs="宋体"/>
          <w:sz w:val="24"/>
        </w:rPr>
        <w:t>划分为多个功能模块，各模块功能、接口独立。通过标准接口通信，可依子公司需求灵活部署、扩展模块。</w:t>
      </w:r>
    </w:p>
    <w:p>
      <w:pPr>
        <w:pStyle w:val="27"/>
        <w:tabs>
          <w:tab w:val="left" w:pos="0"/>
        </w:tabs>
        <w:spacing w:line="360" w:lineRule="auto"/>
        <w:ind w:firstLine="0" w:firstLineChars="0"/>
        <w:rPr>
          <w:rFonts w:hint="eastAsia" w:ascii="宋体" w:hAnsi="宋体" w:cs="宋体"/>
          <w:sz w:val="24"/>
        </w:rPr>
      </w:pPr>
      <w:r>
        <w:rPr>
          <w:rFonts w:hint="eastAsia" w:ascii="宋体" w:hAnsi="宋体" w:cs="宋体"/>
          <w:sz w:val="24"/>
        </w:rPr>
        <w:t>3.多租户支持</w:t>
      </w:r>
    </w:p>
    <w:p>
      <w:pPr>
        <w:pStyle w:val="27"/>
        <w:tabs>
          <w:tab w:val="left" w:pos="0"/>
        </w:tabs>
        <w:spacing w:line="360" w:lineRule="auto"/>
        <w:ind w:firstLine="480"/>
        <w:rPr>
          <w:rFonts w:hint="eastAsia" w:ascii="宋体" w:hAnsi="宋体" w:cs="宋体"/>
          <w:sz w:val="24"/>
        </w:rPr>
      </w:pPr>
      <w:r>
        <w:rPr>
          <w:rFonts w:hint="eastAsia" w:ascii="宋体" w:hAnsi="宋体" w:cs="宋体"/>
          <w:sz w:val="24"/>
        </w:rPr>
        <w:t>构建多租户架构，为各子公司提供隔离空间，独立管理数据库、权限等，同时便于统一运维。</w:t>
      </w:r>
      <w:r>
        <w:rPr>
          <w:rFonts w:hint="eastAsia" w:ascii="宋体" w:hAnsi="宋体" w:cs="宋体"/>
          <w:sz w:val="24"/>
        </w:rPr>
        <w:br w:type="textWrapping"/>
      </w:r>
      <w:r>
        <w:rPr>
          <w:rFonts w:hint="eastAsia" w:ascii="宋体" w:hAnsi="宋体" w:cs="宋体"/>
          <w:sz w:val="24"/>
        </w:rPr>
        <w:t>4.标准化与规范化</w:t>
      </w:r>
    </w:p>
    <w:p>
      <w:pPr>
        <w:pStyle w:val="27"/>
        <w:tabs>
          <w:tab w:val="left" w:pos="0"/>
        </w:tabs>
        <w:spacing w:line="360" w:lineRule="auto"/>
        <w:ind w:firstLine="480"/>
        <w:rPr>
          <w:rFonts w:hint="eastAsia" w:ascii="宋体" w:hAnsi="宋体" w:cs="宋体"/>
          <w:sz w:val="24"/>
        </w:rPr>
      </w:pPr>
      <w:r>
        <w:rPr>
          <w:rFonts w:hint="eastAsia" w:ascii="宋体" w:hAnsi="宋体" w:cs="宋体"/>
          <w:sz w:val="24"/>
        </w:rPr>
        <w:t>制定统一接口（如API接口）、数据格式、业务流程规范及代码规范，保障子公司系统接入顺畅，提升开发效率与质量。</w:t>
      </w:r>
      <w:r>
        <w:rPr>
          <w:rFonts w:hint="eastAsia" w:ascii="宋体" w:hAnsi="宋体" w:cs="宋体"/>
          <w:sz w:val="24"/>
        </w:rPr>
        <w:br w:type="textWrapping"/>
      </w:r>
      <w:r>
        <w:rPr>
          <w:rFonts w:hint="eastAsia" w:ascii="宋体" w:hAnsi="宋体" w:cs="宋体"/>
          <w:sz w:val="24"/>
        </w:rPr>
        <w:t>5.安全机制</w:t>
      </w:r>
    </w:p>
    <w:p>
      <w:pPr>
        <w:pStyle w:val="27"/>
        <w:tabs>
          <w:tab w:val="left" w:pos="0"/>
        </w:tabs>
        <w:spacing w:line="360" w:lineRule="auto"/>
        <w:ind w:firstLine="480"/>
        <w:rPr>
          <w:rFonts w:hint="eastAsia" w:ascii="宋体" w:hAnsi="宋体" w:cs="宋体"/>
          <w:sz w:val="24"/>
        </w:rPr>
      </w:pPr>
      <w:r>
        <w:rPr>
          <w:rFonts w:hint="eastAsia" w:ascii="宋体" w:hAnsi="宋体" w:cs="宋体"/>
          <w:sz w:val="24"/>
        </w:rPr>
        <w:t>加强网络、数据安全防护，采用加密、防火墙等技术。为子公司设独立认证授权体系，具备审计功能。</w:t>
      </w:r>
      <w:r>
        <w:rPr>
          <w:rFonts w:hint="eastAsia" w:ascii="宋体" w:hAnsi="宋体" w:cs="宋体"/>
          <w:sz w:val="24"/>
        </w:rPr>
        <w:br w:type="textWrapping"/>
      </w:r>
      <w:r>
        <w:rPr>
          <w:rFonts w:hint="eastAsia" w:ascii="宋体" w:hAnsi="宋体" w:cs="宋体"/>
          <w:sz w:val="24"/>
        </w:rPr>
        <w:t>6.监控与运维</w:t>
      </w:r>
    </w:p>
    <w:p>
      <w:pPr>
        <w:pStyle w:val="27"/>
        <w:tabs>
          <w:tab w:val="left" w:pos="0"/>
        </w:tabs>
        <w:spacing w:line="360" w:lineRule="auto"/>
        <w:ind w:firstLine="480"/>
        <w:rPr>
          <w:rFonts w:hint="eastAsia" w:ascii="宋体" w:hAnsi="宋体" w:cs="宋体"/>
          <w:sz w:val="24"/>
        </w:rPr>
      </w:pPr>
      <w:r>
        <w:rPr>
          <w:rFonts w:hint="eastAsia" w:ascii="宋体" w:hAnsi="宋体" w:cs="宋体"/>
          <w:sz w:val="24"/>
        </w:rPr>
        <w:t>搭建监控体系监测系统性能，提供自动化运维工具，降低运维成本，提升效率。</w:t>
      </w:r>
      <w:r>
        <w:rPr>
          <w:rFonts w:hint="eastAsia" w:ascii="宋体" w:hAnsi="宋体" w:cs="宋体"/>
          <w:sz w:val="24"/>
        </w:rPr>
        <w:br w:type="textWrapping"/>
      </w:r>
      <w:r>
        <w:rPr>
          <w:rFonts w:hint="eastAsia" w:ascii="宋体" w:hAnsi="宋体" w:cs="宋体"/>
          <w:sz w:val="24"/>
        </w:rPr>
        <w:t>7.兼容性与可移植性</w:t>
      </w:r>
    </w:p>
    <w:p>
      <w:pPr>
        <w:pStyle w:val="27"/>
        <w:tabs>
          <w:tab w:val="left" w:pos="0"/>
        </w:tabs>
        <w:spacing w:line="360" w:lineRule="auto"/>
        <w:ind w:firstLine="480"/>
        <w:rPr>
          <w:rFonts w:hint="eastAsia" w:ascii="宋体" w:hAnsi="宋体" w:cs="宋体"/>
          <w:sz w:val="24"/>
        </w:rPr>
      </w:pPr>
      <w:r>
        <w:rPr>
          <w:rFonts w:hint="eastAsia" w:ascii="宋体" w:hAnsi="宋体" w:cs="宋体"/>
          <w:sz w:val="24"/>
        </w:rPr>
        <w:t>兼容多种软件环境，基于容器技术，方便在不同硬件、云平台迁移部署 。</w:t>
      </w:r>
    </w:p>
    <w:p>
      <w:pPr>
        <w:pStyle w:val="27"/>
        <w:tabs>
          <w:tab w:val="left" w:pos="0"/>
        </w:tabs>
        <w:spacing w:line="360" w:lineRule="auto"/>
        <w:ind w:firstLine="480"/>
        <w:rPr>
          <w:rFonts w:hint="eastAsia" w:ascii="宋体" w:hAnsi="宋体" w:cs="宋体"/>
          <w:sz w:val="24"/>
        </w:rPr>
      </w:pPr>
    </w:p>
    <w:p>
      <w:pPr>
        <w:pStyle w:val="3"/>
        <w:rPr>
          <w:rFonts w:hint="eastAsia"/>
        </w:rPr>
      </w:pPr>
      <w:bookmarkStart w:id="97" w:name="_Toc9535"/>
      <w:bookmarkStart w:id="98" w:name="_Toc202442834"/>
      <w:r>
        <w:rPr>
          <w:rFonts w:hint="eastAsia"/>
        </w:rPr>
        <w:t>二 数据采集</w:t>
      </w:r>
      <w:bookmarkEnd w:id="97"/>
      <w:bookmarkEnd w:id="98"/>
    </w:p>
    <w:p>
      <w:pPr>
        <w:pStyle w:val="30"/>
        <w:numPr>
          <w:ilvl w:val="0"/>
          <w:numId w:val="0"/>
        </w:numPr>
        <w:ind w:left="576" w:hanging="576"/>
      </w:pPr>
      <w:bookmarkStart w:id="99" w:name="_Toc14533"/>
      <w:bookmarkStart w:id="100" w:name="_Toc581"/>
      <w:bookmarkStart w:id="101" w:name="_Toc202442835"/>
      <w:r>
        <w:rPr>
          <w:rFonts w:hint="eastAsia"/>
        </w:rPr>
        <w:t>2.1设备互联互通数据</w:t>
      </w:r>
      <w:bookmarkEnd w:id="99"/>
      <w:r>
        <w:rPr>
          <w:rFonts w:hint="eastAsia"/>
        </w:rPr>
        <w:t>推送</w:t>
      </w:r>
      <w:bookmarkEnd w:id="100"/>
      <w:bookmarkEnd w:id="101"/>
    </w:p>
    <w:p>
      <w:pPr>
        <w:pStyle w:val="27"/>
        <w:tabs>
          <w:tab w:val="left" w:pos="0"/>
        </w:tabs>
        <w:spacing w:line="360" w:lineRule="auto"/>
        <w:ind w:firstLine="0" w:firstLineChars="0"/>
        <w:rPr>
          <w:rFonts w:hint="eastAsia" w:ascii="宋体" w:hAnsi="宋体"/>
          <w:b/>
          <w:bCs/>
          <w:sz w:val="24"/>
        </w:rPr>
      </w:pPr>
      <w:r>
        <w:rPr>
          <w:rFonts w:hint="eastAsia" w:ascii="宋体" w:hAnsi="宋体"/>
          <w:b/>
          <w:bCs/>
          <w:sz w:val="24"/>
        </w:rPr>
        <w:t>2.1.1 数据采集软硬件配置要求</w:t>
      </w:r>
    </w:p>
    <w:p>
      <w:pPr>
        <w:spacing w:line="360" w:lineRule="auto"/>
        <w:ind w:firstLine="480" w:firstLineChars="200"/>
        <w:rPr>
          <w:rFonts w:hint="eastAsia" w:ascii="宋体" w:hAnsi="宋体"/>
          <w:sz w:val="24"/>
        </w:rPr>
      </w:pPr>
      <w:r>
        <w:rPr>
          <w:rFonts w:hint="eastAsia" w:ascii="仿宋" w:hAnsi="仿宋" w:eastAsia="仿宋"/>
          <w:sz w:val="24"/>
        </w:rPr>
        <w:t>1</w:t>
      </w:r>
      <w:r>
        <w:rPr>
          <w:rFonts w:hint="eastAsia" w:ascii="宋体" w:hAnsi="宋体"/>
          <w:sz w:val="24"/>
        </w:rPr>
        <w:t>、通过增加硬件及软件配置，能实现设备的实时检测数据信息采集到LIMS系统以满足本项目需求；</w:t>
      </w:r>
    </w:p>
    <w:p>
      <w:pPr>
        <w:spacing w:line="360" w:lineRule="auto"/>
        <w:ind w:firstLine="480" w:firstLineChars="200"/>
        <w:rPr>
          <w:rFonts w:hint="eastAsia" w:ascii="宋体" w:hAnsi="宋体"/>
          <w:sz w:val="24"/>
        </w:rPr>
      </w:pPr>
      <w:r>
        <w:rPr>
          <w:rFonts w:hint="eastAsia" w:ascii="宋体" w:hAnsi="宋体"/>
          <w:sz w:val="24"/>
        </w:rPr>
        <w:t>2、完成设备检测数据接入LIMS工作；同时须确保设备数采的信息及时、稳定、可靠、与其他系统等对接的稳定，不得影响原设备的控制性能；</w:t>
      </w:r>
    </w:p>
    <w:p>
      <w:pPr>
        <w:spacing w:line="360" w:lineRule="auto"/>
        <w:ind w:firstLine="480" w:firstLineChars="200"/>
        <w:rPr>
          <w:rFonts w:hint="eastAsia" w:ascii="宋体" w:hAnsi="宋体"/>
          <w:sz w:val="24"/>
        </w:rPr>
      </w:pPr>
      <w:r>
        <w:rPr>
          <w:rFonts w:hint="eastAsia" w:ascii="宋体" w:hAnsi="宋体"/>
          <w:sz w:val="24"/>
        </w:rPr>
        <w:t>3、所有数据接口、密码等需要具备开放性，可兼容性，不得影响后期功能扩展和相关数据采集，接口对接需要能够配置快速对接，数据推送策略能够进行灵活配置并提供对应的接口文档；</w:t>
      </w:r>
    </w:p>
    <w:p>
      <w:pPr>
        <w:pStyle w:val="7"/>
        <w:ind w:firstLine="480" w:firstLineChars="200"/>
      </w:pPr>
      <w:r>
        <w:rPr>
          <w:rFonts w:hint="eastAsia" w:ascii="宋体" w:hAnsi="宋体"/>
          <w:sz w:val="24"/>
          <w:szCs w:val="24"/>
        </w:rPr>
        <w:t>4、设备互联网络由乙方实施，需支持无线网或有线网；</w:t>
      </w:r>
    </w:p>
    <w:p>
      <w:pPr>
        <w:spacing w:line="360" w:lineRule="auto"/>
        <w:ind w:firstLine="480" w:firstLineChars="200"/>
        <w:rPr>
          <w:rFonts w:hint="eastAsia" w:ascii="宋体" w:hAnsi="宋体"/>
          <w:sz w:val="24"/>
        </w:rPr>
      </w:pPr>
      <w:r>
        <w:rPr>
          <w:rFonts w:hint="eastAsia" w:ascii="宋体" w:hAnsi="宋体"/>
          <w:sz w:val="24"/>
        </w:rPr>
        <w:t>5、为提高数据利用率本项目的数据采集单元应保有同时将数据分发给多个平台或者系统的能力；</w:t>
      </w:r>
    </w:p>
    <w:p>
      <w:pPr>
        <w:spacing w:line="360" w:lineRule="auto"/>
        <w:ind w:firstLine="480" w:firstLineChars="200"/>
        <w:rPr>
          <w:rFonts w:hint="eastAsia" w:ascii="宋体" w:hAnsi="宋体"/>
          <w:sz w:val="24"/>
        </w:rPr>
      </w:pPr>
      <w:r>
        <w:rPr>
          <w:rFonts w:hint="eastAsia" w:ascii="宋体" w:hAnsi="宋体"/>
          <w:sz w:val="24"/>
        </w:rPr>
        <w:t>6、对于数据采集负载需要均衡，原则上单套（台）采集单元负载率不得超过理论上限值的80%；</w:t>
      </w:r>
    </w:p>
    <w:p>
      <w:pPr>
        <w:spacing w:line="360" w:lineRule="auto"/>
        <w:ind w:firstLine="480" w:firstLineChars="200"/>
        <w:rPr>
          <w:rFonts w:hint="eastAsia" w:ascii="宋体" w:hAnsi="宋体"/>
          <w:sz w:val="24"/>
        </w:rPr>
      </w:pPr>
      <w:r>
        <w:rPr>
          <w:rFonts w:hint="eastAsia" w:ascii="宋体" w:hAnsi="宋体"/>
          <w:sz w:val="24"/>
        </w:rPr>
        <w:t>7、为保证数据稳定性，所有采集单元需要有备用单元，在采集单元无法正常工作时可自动切换至备用单元且备用单元具备主单元所有功能；</w:t>
      </w:r>
    </w:p>
    <w:p>
      <w:pPr>
        <w:spacing w:line="360" w:lineRule="auto"/>
        <w:ind w:firstLine="480" w:firstLineChars="200"/>
        <w:rPr>
          <w:rFonts w:hint="eastAsia" w:ascii="宋体" w:hAnsi="宋体"/>
          <w:sz w:val="24"/>
        </w:rPr>
      </w:pPr>
      <w:r>
        <w:rPr>
          <w:rFonts w:hint="eastAsia" w:ascii="宋体" w:hAnsi="宋体"/>
          <w:sz w:val="24"/>
        </w:rPr>
        <w:t>8、建立良好的采集系统管理机制，在采集系统发生故障时可通过钉钉、邮箱等方式通知相关管理人员并自动形成日志和记录；</w:t>
      </w:r>
    </w:p>
    <w:p>
      <w:pPr>
        <w:spacing w:line="360" w:lineRule="auto"/>
        <w:ind w:firstLine="480" w:firstLineChars="200"/>
        <w:rPr>
          <w:rFonts w:hint="eastAsia" w:ascii="宋体" w:hAnsi="宋体"/>
          <w:sz w:val="24"/>
        </w:rPr>
      </w:pPr>
      <w:r>
        <w:rPr>
          <w:rFonts w:hint="eastAsia" w:ascii="宋体" w:hAnsi="宋体"/>
          <w:sz w:val="24"/>
        </w:rPr>
        <w:t>9、为后期方便维护采集系统，采集系统维护界面需可支持多人同时维护（如Web、集中管理软件等），提高维护效率；</w:t>
      </w:r>
    </w:p>
    <w:p>
      <w:pPr>
        <w:spacing w:line="360" w:lineRule="auto"/>
        <w:ind w:firstLine="480" w:firstLineChars="200"/>
        <w:rPr>
          <w:rFonts w:hint="eastAsia" w:ascii="宋体" w:hAnsi="宋体"/>
          <w:sz w:val="24"/>
        </w:rPr>
      </w:pPr>
      <w:r>
        <w:rPr>
          <w:rFonts w:hint="eastAsia" w:ascii="宋体" w:hAnsi="宋体"/>
          <w:sz w:val="24"/>
        </w:rPr>
        <w:t>10、为保证数据连续性要求，采集系统能在本机存储≧15天的数据，支持断点续传，在断网情况下至少支持15天的数据缓存，网络恢复后自动推送；</w:t>
      </w:r>
    </w:p>
    <w:p>
      <w:pPr>
        <w:spacing w:line="360" w:lineRule="auto"/>
        <w:ind w:firstLine="480" w:firstLineChars="200"/>
        <w:rPr>
          <w:rFonts w:hint="eastAsia" w:ascii="宋体" w:hAnsi="宋体"/>
          <w:sz w:val="24"/>
        </w:rPr>
      </w:pPr>
      <w:r>
        <w:rPr>
          <w:rFonts w:hint="eastAsia" w:ascii="宋体" w:hAnsi="宋体"/>
          <w:sz w:val="24"/>
        </w:rPr>
        <w:t>11、厂家需要熟悉线缆行业检测设备数据推送并熟悉物联网架构技术，能够根据公司业务及技术要求设计系统架构并能够完成交钥匙工程；</w:t>
      </w:r>
    </w:p>
    <w:p>
      <w:pPr>
        <w:spacing w:line="360" w:lineRule="auto"/>
        <w:ind w:firstLine="480" w:firstLineChars="200"/>
        <w:rPr>
          <w:rFonts w:hint="eastAsia" w:ascii="宋体" w:hAnsi="宋体"/>
          <w:sz w:val="24"/>
        </w:rPr>
      </w:pPr>
      <w:r>
        <w:rPr>
          <w:rFonts w:hint="eastAsia" w:ascii="宋体" w:hAnsi="宋体"/>
          <w:sz w:val="24"/>
        </w:rPr>
        <w:t>12、数据采集系统能够方便二次开发及配置，并带有数据管理功能优先；</w:t>
      </w:r>
    </w:p>
    <w:p>
      <w:pPr>
        <w:pStyle w:val="27"/>
        <w:tabs>
          <w:tab w:val="left" w:pos="0"/>
        </w:tabs>
        <w:spacing w:line="360" w:lineRule="auto"/>
        <w:ind w:firstLine="0" w:firstLineChars="0"/>
        <w:rPr>
          <w:rFonts w:hint="eastAsia" w:ascii="宋体" w:hAnsi="宋体"/>
          <w:b/>
          <w:bCs/>
          <w:sz w:val="24"/>
        </w:rPr>
      </w:pPr>
      <w:r>
        <w:rPr>
          <w:rFonts w:hint="eastAsia" w:ascii="宋体" w:hAnsi="宋体"/>
          <w:b/>
          <w:bCs/>
          <w:sz w:val="24"/>
        </w:rPr>
        <w:t>2.1.2 数据采集架构要求</w:t>
      </w:r>
    </w:p>
    <w:p>
      <w:pPr>
        <w:jc w:val="center"/>
      </w:pPr>
      <w:r>
        <w:drawing>
          <wp:inline distT="0" distB="0" distL="0" distR="0">
            <wp:extent cx="5723890" cy="2957830"/>
            <wp:effectExtent l="0" t="0" r="0" b="0"/>
            <wp:docPr id="208043243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432434" name="图片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723890" cy="2957830"/>
                    </a:xfrm>
                    <a:prstGeom prst="rect">
                      <a:avLst/>
                    </a:prstGeom>
                    <a:noFill/>
                    <a:ln>
                      <a:noFill/>
                    </a:ln>
                  </pic:spPr>
                </pic:pic>
              </a:graphicData>
            </a:graphic>
          </wp:inline>
        </w:drawing>
      </w:r>
    </w:p>
    <w:p>
      <w:pPr>
        <w:pStyle w:val="27"/>
        <w:tabs>
          <w:tab w:val="left" w:pos="0"/>
        </w:tabs>
        <w:spacing w:line="360" w:lineRule="auto"/>
        <w:ind w:firstLine="0" w:firstLineChars="0"/>
        <w:rPr>
          <w:rFonts w:hint="eastAsia" w:ascii="宋体" w:hAnsi="宋体"/>
          <w:b/>
          <w:bCs/>
          <w:sz w:val="24"/>
        </w:rPr>
      </w:pPr>
      <w:r>
        <w:rPr>
          <w:rFonts w:hint="eastAsia" w:ascii="宋体" w:hAnsi="宋体"/>
          <w:b/>
          <w:bCs/>
          <w:sz w:val="24"/>
        </w:rPr>
        <w:t>2.1.3 设备数据采集清单（见附件一）</w:t>
      </w:r>
    </w:p>
    <w:p/>
    <w:p>
      <w:pPr>
        <w:pStyle w:val="3"/>
        <w:rPr>
          <w:rFonts w:hint="eastAsia"/>
        </w:rPr>
      </w:pPr>
      <w:bookmarkStart w:id="102" w:name="_Toc28258"/>
      <w:bookmarkStart w:id="103" w:name="_Toc202442836"/>
      <w:r>
        <w:rPr>
          <w:rFonts w:hint="eastAsia"/>
        </w:rPr>
        <w:t>三 功能要求</w:t>
      </w:r>
      <w:bookmarkEnd w:id="102"/>
      <w:bookmarkEnd w:id="103"/>
    </w:p>
    <w:p>
      <w:pPr>
        <w:pStyle w:val="30"/>
        <w:numPr>
          <w:ilvl w:val="0"/>
          <w:numId w:val="0"/>
        </w:numPr>
        <w:ind w:left="576" w:hanging="576"/>
      </w:pPr>
      <w:bookmarkStart w:id="104" w:name="_Toc202442837"/>
      <w:bookmarkStart w:id="105" w:name="_Toc6638"/>
      <w:r>
        <w:rPr>
          <w:rFonts w:hint="eastAsia"/>
        </w:rPr>
        <w:t>3.1试验管理</w:t>
      </w:r>
      <w:bookmarkEnd w:id="104"/>
      <w:bookmarkEnd w:id="105"/>
    </w:p>
    <w:p>
      <w:pPr>
        <w:spacing w:line="360" w:lineRule="auto"/>
        <w:jc w:val="left"/>
      </w:pPr>
      <w:r>
        <w:drawing>
          <wp:inline distT="0" distB="0" distL="0" distR="0">
            <wp:extent cx="5723890" cy="3060700"/>
            <wp:effectExtent l="0" t="0" r="0" b="6350"/>
            <wp:docPr id="148356475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564755" name="图片 6"/>
                    <pic:cNvPicPr>
                      <a:picLocks noChangeAspect="1" noChangeArrowheads="1"/>
                    </pic:cNvPicPr>
                  </pic:nvPicPr>
                  <pic:blipFill>
                    <a:blip r:embed="rId8" cstate="print">
                      <a:extLst>
                        <a:ext uri="{28A0092B-C50C-407E-A947-70E740481C1C}">
                          <a14:useLocalDpi xmlns:a14="http://schemas.microsoft.com/office/drawing/2010/main" val="0"/>
                        </a:ext>
                      </a:extLst>
                    </a:blip>
                    <a:srcRect l="893" t="584" r="1088"/>
                    <a:stretch>
                      <a:fillRect/>
                    </a:stretch>
                  </pic:blipFill>
                  <pic:spPr>
                    <a:xfrm>
                      <a:off x="0" y="0"/>
                      <a:ext cx="5723890" cy="3060700"/>
                    </a:xfrm>
                    <a:prstGeom prst="rect">
                      <a:avLst/>
                    </a:prstGeom>
                    <a:noFill/>
                    <a:ln>
                      <a:noFill/>
                    </a:ln>
                    <a:effectLst/>
                  </pic:spPr>
                </pic:pic>
              </a:graphicData>
            </a:graphic>
          </wp:inline>
        </w:drawing>
      </w:r>
    </w:p>
    <w:p>
      <w:pPr>
        <w:spacing w:line="360" w:lineRule="auto"/>
        <w:rPr>
          <w:rFonts w:hint="eastAsia" w:ascii="宋体" w:hAnsi="宋体"/>
          <w:b/>
          <w:bCs/>
          <w:sz w:val="24"/>
          <w:szCs w:val="22"/>
        </w:rPr>
      </w:pPr>
      <w:r>
        <w:rPr>
          <w:rFonts w:hint="eastAsia" w:ascii="宋体" w:hAnsi="宋体"/>
          <w:b/>
          <w:bCs/>
          <w:sz w:val="24"/>
          <w:szCs w:val="22"/>
        </w:rPr>
        <w:t>3.1.1 送样</w:t>
      </w:r>
    </w:p>
    <w:p>
      <w:pPr>
        <w:spacing w:line="360" w:lineRule="auto"/>
        <w:ind w:firstLine="480" w:firstLineChars="200"/>
        <w:rPr>
          <w:rFonts w:hint="eastAsia" w:ascii="宋体" w:hAnsi="宋体"/>
          <w:sz w:val="24"/>
        </w:rPr>
      </w:pPr>
      <w:r>
        <w:rPr>
          <w:rFonts w:hint="eastAsia" w:ascii="宋体" w:hAnsi="宋体"/>
          <w:sz w:val="24"/>
        </w:rPr>
        <w:t>需求部门系统发起或提交检测需求，生成带有二维码或其他方式体现的送检单</w:t>
      </w:r>
      <w:r>
        <w:rPr>
          <w:rFonts w:ascii="宋体" w:hAnsi="宋体"/>
          <w:sz w:val="24"/>
        </w:rPr>
        <w:t>。</w:t>
      </w:r>
      <w:r>
        <w:rPr>
          <w:rFonts w:hint="eastAsia" w:ascii="宋体" w:hAnsi="宋体"/>
          <w:sz w:val="24"/>
        </w:rPr>
        <w:t>要求实现实验室检验工单的申请和流转，通过系统消息和待办方式，告知和规范试验人员的检测任务，并实现检测实验室与生产车间的实时联动。</w:t>
      </w:r>
    </w:p>
    <w:p>
      <w:pPr>
        <w:spacing w:line="360" w:lineRule="auto"/>
        <w:rPr>
          <w:rFonts w:hint="eastAsia" w:ascii="宋体" w:hAnsi="宋体"/>
          <w:b/>
          <w:bCs/>
          <w:sz w:val="24"/>
          <w:szCs w:val="22"/>
        </w:rPr>
      </w:pPr>
      <w:r>
        <w:rPr>
          <w:rFonts w:hint="eastAsia" w:ascii="宋体" w:hAnsi="宋体"/>
          <w:b/>
          <w:bCs/>
          <w:sz w:val="24"/>
          <w:szCs w:val="22"/>
        </w:rPr>
        <w:t>3.1.2 到样登记</w:t>
      </w:r>
    </w:p>
    <w:p>
      <w:pPr>
        <w:spacing w:line="360" w:lineRule="auto"/>
        <w:ind w:firstLine="480" w:firstLineChars="200"/>
        <w:rPr>
          <w:rFonts w:hint="eastAsia" w:ascii="宋体" w:hAnsi="宋体"/>
          <w:sz w:val="24"/>
        </w:rPr>
      </w:pPr>
      <w:r>
        <w:rPr>
          <w:rFonts w:hint="eastAsia" w:ascii="宋体" w:hAnsi="宋体"/>
          <w:sz w:val="24"/>
        </w:rPr>
        <w:t>将样品送至检测部门并进行扫码登记；送检</w:t>
      </w:r>
      <w:r>
        <w:rPr>
          <w:rFonts w:ascii="宋体" w:hAnsi="宋体"/>
          <w:sz w:val="24"/>
        </w:rPr>
        <w:t>提交</w:t>
      </w:r>
      <w:r>
        <w:rPr>
          <w:rFonts w:hint="eastAsia" w:ascii="宋体" w:hAnsi="宋体"/>
          <w:sz w:val="24"/>
        </w:rPr>
        <w:t>时间和到样登记时间间隔不超过4小时，过期</w:t>
      </w:r>
      <w:r>
        <w:rPr>
          <w:rFonts w:ascii="宋体" w:hAnsi="宋体"/>
          <w:sz w:val="24"/>
        </w:rPr>
        <w:t>送检任务单自动取消或</w:t>
      </w:r>
      <w:r>
        <w:rPr>
          <w:rFonts w:hint="eastAsia" w:ascii="宋体" w:hAnsi="宋体"/>
          <w:sz w:val="24"/>
        </w:rPr>
        <w:t>退回</w:t>
      </w:r>
      <w:r>
        <w:rPr>
          <w:rFonts w:ascii="宋体" w:hAnsi="宋体"/>
          <w:sz w:val="24"/>
        </w:rPr>
        <w:t>；必须到样登记后流程</w:t>
      </w:r>
      <w:r>
        <w:rPr>
          <w:rFonts w:hint="eastAsia" w:ascii="宋体" w:hAnsi="宋体"/>
          <w:sz w:val="24"/>
        </w:rPr>
        <w:t>才能</w:t>
      </w:r>
      <w:r>
        <w:rPr>
          <w:rFonts w:ascii="宋体" w:hAnsi="宋体"/>
          <w:sz w:val="24"/>
        </w:rPr>
        <w:t>进入下一节点</w:t>
      </w:r>
      <w:r>
        <w:rPr>
          <w:rFonts w:hint="eastAsia" w:ascii="宋体" w:hAnsi="宋体"/>
          <w:sz w:val="24"/>
        </w:rPr>
        <w:t>；支持样品状态扫码查询。</w:t>
      </w:r>
    </w:p>
    <w:p>
      <w:pPr>
        <w:spacing w:line="360" w:lineRule="auto"/>
        <w:rPr>
          <w:rFonts w:hint="eastAsia" w:ascii="宋体" w:hAnsi="宋体"/>
          <w:b/>
          <w:bCs/>
          <w:sz w:val="24"/>
          <w:szCs w:val="22"/>
        </w:rPr>
      </w:pPr>
      <w:r>
        <w:rPr>
          <w:rFonts w:hint="eastAsia" w:ascii="宋体" w:hAnsi="宋体"/>
          <w:b/>
          <w:bCs/>
          <w:sz w:val="24"/>
          <w:szCs w:val="22"/>
        </w:rPr>
        <w:t>3.1.3 核对样品信息</w:t>
      </w:r>
    </w:p>
    <w:p>
      <w:pPr>
        <w:spacing w:line="360" w:lineRule="auto"/>
        <w:ind w:firstLine="480" w:firstLineChars="200"/>
        <w:rPr>
          <w:rFonts w:hint="eastAsia" w:ascii="宋体" w:hAnsi="宋体"/>
          <w:sz w:val="24"/>
        </w:rPr>
      </w:pPr>
      <w:r>
        <w:rPr>
          <w:rFonts w:ascii="宋体" w:hAnsi="宋体"/>
          <w:sz w:val="24"/>
        </w:rPr>
        <w:t>试验员对送检产品进行核对</w:t>
      </w:r>
      <w:r>
        <w:rPr>
          <w:rFonts w:hint="eastAsia" w:ascii="宋体" w:hAnsi="宋体"/>
          <w:sz w:val="24"/>
        </w:rPr>
        <w:t>包括但不限于以下内容：样品名称、型号规格、检测项目、是否进行到样登记</w:t>
      </w:r>
      <w:r>
        <w:rPr>
          <w:rFonts w:ascii="宋体" w:hAnsi="宋体"/>
          <w:sz w:val="24"/>
        </w:rPr>
        <w:t>。</w:t>
      </w:r>
      <w:r>
        <w:rPr>
          <w:rFonts w:hint="eastAsia" w:ascii="宋体" w:hAnsi="宋体"/>
          <w:sz w:val="24"/>
        </w:rPr>
        <w:t>支持信息不符时的原因/照片上传并退回送检单功能。</w:t>
      </w:r>
    </w:p>
    <w:p>
      <w:pPr>
        <w:spacing w:line="360" w:lineRule="auto"/>
        <w:rPr>
          <w:rFonts w:hint="eastAsia" w:ascii="宋体" w:hAnsi="宋体"/>
          <w:b/>
          <w:bCs/>
          <w:sz w:val="24"/>
          <w:szCs w:val="22"/>
        </w:rPr>
      </w:pPr>
      <w:r>
        <w:rPr>
          <w:rFonts w:hint="eastAsia" w:ascii="宋体" w:hAnsi="宋体"/>
          <w:b/>
          <w:bCs/>
          <w:sz w:val="24"/>
          <w:szCs w:val="22"/>
        </w:rPr>
        <w:t>3.1.4 检测实施</w:t>
      </w:r>
    </w:p>
    <w:p>
      <w:pPr>
        <w:spacing w:line="360" w:lineRule="auto"/>
        <w:ind w:firstLine="480" w:firstLineChars="200"/>
        <w:rPr>
          <w:rFonts w:hint="eastAsia" w:ascii="宋体" w:hAnsi="宋体"/>
          <w:sz w:val="24"/>
        </w:rPr>
      </w:pPr>
      <w:r>
        <w:rPr>
          <w:rFonts w:hint="eastAsia" w:ascii="宋体" w:hAnsi="宋体"/>
          <w:sz w:val="24"/>
        </w:rPr>
        <w:t>试验员按照送检</w:t>
      </w:r>
      <w:r>
        <w:rPr>
          <w:rFonts w:ascii="宋体" w:hAnsi="宋体"/>
          <w:sz w:val="24"/>
        </w:rPr>
        <w:t>项目和标准</w:t>
      </w:r>
      <w:r>
        <w:rPr>
          <w:rFonts w:hint="eastAsia" w:ascii="宋体" w:hAnsi="宋体"/>
          <w:sz w:val="24"/>
        </w:rPr>
        <w:t>要求将样品进行制样</w:t>
      </w:r>
      <w:r>
        <w:rPr>
          <w:rFonts w:ascii="宋体" w:hAnsi="宋体"/>
          <w:sz w:val="24"/>
        </w:rPr>
        <w:t>、</w:t>
      </w:r>
      <w:r>
        <w:rPr>
          <w:rFonts w:hint="eastAsia" w:ascii="宋体" w:hAnsi="宋体"/>
          <w:sz w:val="24"/>
        </w:rPr>
        <w:t>预处理</w:t>
      </w:r>
      <w:r>
        <w:rPr>
          <w:rFonts w:ascii="宋体" w:hAnsi="宋体"/>
          <w:sz w:val="24"/>
        </w:rPr>
        <w:t>、检测、数据计算等系列检测操作流程。</w:t>
      </w:r>
    </w:p>
    <w:p>
      <w:pPr>
        <w:spacing w:line="360" w:lineRule="auto"/>
        <w:rPr>
          <w:rFonts w:hint="eastAsia" w:ascii="宋体" w:hAnsi="宋体"/>
          <w:b/>
          <w:bCs/>
          <w:sz w:val="24"/>
          <w:szCs w:val="22"/>
        </w:rPr>
      </w:pPr>
      <w:r>
        <w:rPr>
          <w:rFonts w:hint="eastAsia" w:ascii="宋体" w:hAnsi="宋体"/>
          <w:b/>
          <w:bCs/>
          <w:sz w:val="24"/>
          <w:szCs w:val="22"/>
        </w:rPr>
        <w:t>3.1.5 录入原始记录</w:t>
      </w:r>
    </w:p>
    <w:p>
      <w:pPr>
        <w:spacing w:line="360" w:lineRule="auto"/>
        <w:ind w:firstLine="480" w:firstLineChars="200"/>
        <w:rPr>
          <w:rFonts w:hint="eastAsia" w:ascii="宋体" w:hAnsi="宋体"/>
          <w:sz w:val="24"/>
        </w:rPr>
      </w:pPr>
      <w:r>
        <w:rPr>
          <w:rFonts w:hint="eastAsia" w:ascii="宋体" w:hAnsi="宋体"/>
          <w:sz w:val="24"/>
        </w:rPr>
        <w:t>通过实验室内部检测执行管理，实现原始数据录入以及原始数据审核。同时，需支持通过设备物联方式链接仪器设备的试验数据，并实现检测数据的自动化采集和检测结果的自动记录与保存。系统需支持按照样品查看同样品下的所有试验项目；支持按照试验项目查看项目下所有样品信息；支持按照检验项目库中配置的原始记录模板填写原始数据。</w:t>
      </w:r>
    </w:p>
    <w:p>
      <w:pPr>
        <w:spacing w:line="360" w:lineRule="auto"/>
        <w:rPr>
          <w:rFonts w:hint="eastAsia" w:ascii="宋体" w:hAnsi="宋体"/>
          <w:b/>
          <w:bCs/>
          <w:sz w:val="24"/>
          <w:szCs w:val="22"/>
        </w:rPr>
      </w:pPr>
      <w:r>
        <w:rPr>
          <w:rFonts w:hint="eastAsia" w:ascii="宋体" w:hAnsi="宋体"/>
          <w:b/>
          <w:bCs/>
          <w:sz w:val="24"/>
          <w:szCs w:val="22"/>
        </w:rPr>
        <w:t>3.1.6 数据处理&amp;提交</w:t>
      </w:r>
    </w:p>
    <w:p>
      <w:pPr>
        <w:spacing w:line="360" w:lineRule="auto"/>
        <w:ind w:firstLine="480" w:firstLineChars="200"/>
        <w:rPr>
          <w:rFonts w:hint="eastAsia" w:ascii="宋体" w:hAnsi="宋体"/>
          <w:sz w:val="24"/>
        </w:rPr>
      </w:pPr>
      <w:r>
        <w:rPr>
          <w:rFonts w:hint="eastAsia" w:ascii="宋体" w:hAnsi="宋体"/>
          <w:sz w:val="24"/>
        </w:rPr>
        <w:t>支持试验员对试验过程中产生的照片、图表等上传到对应原始记录上，并能够在线预览和下载；支持试验员试验过程中，能够直观的查看到对应试验项目的试验要求和试验方法，指导试验员的试验工作；能够显示原始记录内每一项数据的修改记录，包括修改人、修改时间，原值和新值；支持原试验员复测，也可以指定其他试验员复测。支持单数值/多数值自动判标，自动关联工艺规范判定依据。</w:t>
      </w:r>
    </w:p>
    <w:p>
      <w:pPr>
        <w:rPr>
          <w:rFonts w:hint="eastAsia" w:ascii="宋体" w:hAnsi="宋体"/>
          <w:b/>
          <w:bCs/>
          <w:sz w:val="24"/>
          <w:szCs w:val="22"/>
        </w:rPr>
      </w:pPr>
      <w:r>
        <w:rPr>
          <w:rFonts w:hint="eastAsia" w:ascii="宋体" w:hAnsi="宋体"/>
          <w:b/>
          <w:bCs/>
          <w:sz w:val="24"/>
          <w:szCs w:val="22"/>
        </w:rPr>
        <w:t>3.1.7 报告生成&amp;签发</w:t>
      </w:r>
    </w:p>
    <w:p>
      <w:pPr>
        <w:spacing w:line="360" w:lineRule="auto"/>
        <w:ind w:firstLine="480" w:firstLineChars="200"/>
        <w:rPr>
          <w:rFonts w:hint="eastAsia" w:ascii="宋体" w:hAnsi="宋体"/>
          <w:sz w:val="24"/>
        </w:rPr>
      </w:pPr>
      <w:r>
        <w:rPr>
          <w:rFonts w:hint="eastAsia" w:ascii="宋体" w:hAnsi="宋体"/>
          <w:sz w:val="24"/>
        </w:rPr>
        <w:t>系统需实现检测报告的自动生成、报告审批和报告的在线推送预览与下载。检测报告编制时候需借助检验标准库的建设和结构化检测原始记录，实现检测报告中检测样品信息、检测标准值、检测结果值以及检测结果的判定一键生成检测报告，并支持按照特定格式在线预览和下载打印，同时通过数字签名技术，实现检测报告的数字化签名以及检测报告的签章的电子化签章，实现检测报告真正的线上流转和电子化生成与记录。系统需支持自动生成报告样品信息和检测信息；支持检测报告的引用判定标准维护；在编辑报告时，系统需支持用户调整检测项目在报告中的顺序；支持报告结论、判定依据、备注等维护。支持用户输入和修改相应检测项目的技术要求；支持样品和试验图片生成导入到检测报告中；支持用户自定义检测报告模板格式；支持电子版自定义的检测报告格式下载和打印；支持按照检测报告审批流程进行报告审批。</w:t>
      </w:r>
    </w:p>
    <w:p>
      <w:pPr>
        <w:pStyle w:val="30"/>
        <w:numPr>
          <w:ilvl w:val="0"/>
          <w:numId w:val="0"/>
        </w:numPr>
        <w:ind w:left="576" w:hanging="576"/>
      </w:pPr>
      <w:bookmarkStart w:id="106" w:name="_Toc6998"/>
      <w:bookmarkStart w:id="107" w:name="_Toc202442838"/>
      <w:r>
        <w:rPr>
          <w:rFonts w:hint="eastAsia"/>
        </w:rPr>
        <w:t>3.2资源管理</w:t>
      </w:r>
      <w:bookmarkEnd w:id="106"/>
      <w:bookmarkEnd w:id="107"/>
    </w:p>
    <w:p>
      <w:pPr>
        <w:spacing w:line="360" w:lineRule="auto"/>
        <w:rPr>
          <w:rFonts w:hint="eastAsia" w:ascii="宋体" w:hAnsi="宋体"/>
          <w:b/>
          <w:bCs/>
          <w:sz w:val="24"/>
          <w:szCs w:val="22"/>
        </w:rPr>
      </w:pPr>
      <w:r>
        <w:rPr>
          <w:rFonts w:hint="eastAsia" w:ascii="宋体" w:hAnsi="宋体"/>
          <w:b/>
          <w:bCs/>
          <w:sz w:val="24"/>
          <w:szCs w:val="22"/>
        </w:rPr>
        <w:t>3.2.1 人员管理</w:t>
      </w:r>
    </w:p>
    <w:p>
      <w:pPr>
        <w:spacing w:line="360" w:lineRule="auto"/>
        <w:ind w:firstLine="480" w:firstLineChars="200"/>
        <w:rPr>
          <w:rFonts w:hint="eastAsia" w:ascii="宋体" w:hAnsi="宋体"/>
          <w:sz w:val="24"/>
        </w:rPr>
      </w:pPr>
      <w:r>
        <w:rPr>
          <w:rFonts w:hint="eastAsia" w:ascii="宋体" w:hAnsi="宋体"/>
          <w:sz w:val="24"/>
        </w:rPr>
        <w:t>人员管理需要实现内容主要包括人员基本信息维护、人员授权、人员能力监控等。</w:t>
      </w:r>
    </w:p>
    <w:p>
      <w:pPr>
        <w:spacing w:line="360" w:lineRule="auto"/>
        <w:ind w:firstLine="480" w:firstLineChars="200"/>
        <w:rPr>
          <w:rFonts w:hint="eastAsia" w:ascii="仿宋" w:hAnsi="仿宋" w:eastAsia="仿宋"/>
          <w:sz w:val="32"/>
          <w:szCs w:val="32"/>
        </w:rPr>
      </w:pPr>
      <w:r>
        <w:rPr>
          <w:rFonts w:hint="eastAsia" w:ascii="宋体" w:hAnsi="宋体"/>
          <w:sz w:val="24"/>
        </w:rPr>
        <w:t>LIMS应支持维护人员变更和人员档案信息并实时更新﹐以保证信息查询的准确性。当出现异常情况如关键人员离岗或试验资格被暂停等,应具有提醒和预警的功能。LIMS系统应该支持管理人员根据试验人员授权能力进行在线授权维护。</w:t>
      </w:r>
    </w:p>
    <w:p>
      <w:pPr>
        <w:spacing w:line="360" w:lineRule="auto"/>
        <w:rPr>
          <w:rFonts w:hint="eastAsia" w:ascii="宋体" w:hAnsi="宋体"/>
          <w:b/>
          <w:bCs/>
          <w:sz w:val="24"/>
          <w:szCs w:val="22"/>
        </w:rPr>
      </w:pPr>
      <w:r>
        <w:rPr>
          <w:rFonts w:hint="eastAsia" w:ascii="宋体" w:hAnsi="宋体"/>
          <w:b/>
          <w:bCs/>
          <w:sz w:val="24"/>
          <w:szCs w:val="22"/>
        </w:rPr>
        <w:t>3.2.2 设备管理</w:t>
      </w:r>
    </w:p>
    <w:p>
      <w:pPr>
        <w:spacing w:line="360" w:lineRule="auto"/>
        <w:ind w:firstLine="480" w:firstLineChars="200"/>
        <w:rPr>
          <w:rFonts w:hint="eastAsia" w:ascii="宋体" w:hAnsi="宋体"/>
          <w:sz w:val="24"/>
        </w:rPr>
      </w:pPr>
      <w:r>
        <w:rPr>
          <w:rFonts w:hint="eastAsia" w:ascii="宋体" w:hAnsi="宋体"/>
          <w:sz w:val="24"/>
        </w:rPr>
        <w:t>设备管理功能涵盖设备台账、设备维修记录、计量鉴定、期间核查等功能。</w:t>
      </w:r>
    </w:p>
    <w:p>
      <w:pPr>
        <w:spacing w:line="360" w:lineRule="auto"/>
        <w:ind w:firstLine="480" w:firstLineChars="200"/>
        <w:rPr>
          <w:rFonts w:hint="eastAsia" w:ascii="宋体" w:hAnsi="宋体"/>
          <w:sz w:val="24"/>
        </w:rPr>
      </w:pPr>
      <w:r>
        <w:rPr>
          <w:rFonts w:hint="eastAsia" w:ascii="宋体" w:hAnsi="宋体"/>
          <w:sz w:val="24"/>
        </w:rPr>
        <w:t>设备台账：系统支持设备建档，属性包括基本信息、仪器状态、计量状态、维修维护记录等。</w:t>
      </w:r>
    </w:p>
    <w:p>
      <w:pPr>
        <w:spacing w:line="360" w:lineRule="auto"/>
        <w:ind w:firstLine="480" w:firstLineChars="200"/>
        <w:rPr>
          <w:rFonts w:hint="eastAsia" w:ascii="宋体" w:hAnsi="宋体"/>
          <w:sz w:val="24"/>
        </w:rPr>
      </w:pPr>
      <w:r>
        <w:rPr>
          <w:rFonts w:hint="eastAsia" w:ascii="宋体" w:hAnsi="宋体"/>
          <w:sz w:val="24"/>
        </w:rPr>
        <w:t>设备维修：系统支持对设备维修的日期、维修内容、结果、人员工时等进行记录。</w:t>
      </w:r>
    </w:p>
    <w:p>
      <w:pPr>
        <w:spacing w:line="360" w:lineRule="auto"/>
        <w:ind w:firstLine="480" w:firstLineChars="200"/>
        <w:rPr>
          <w:rFonts w:hint="eastAsia" w:ascii="宋体" w:hAnsi="宋体"/>
          <w:sz w:val="24"/>
        </w:rPr>
      </w:pPr>
      <w:r>
        <w:rPr>
          <w:rFonts w:hint="eastAsia" w:ascii="宋体" w:hAnsi="宋体"/>
          <w:sz w:val="24"/>
        </w:rPr>
        <w:t>计量记录：系统设备计量状态、计量计划编制、计量计划管理等。</w:t>
      </w:r>
    </w:p>
    <w:p>
      <w:pPr>
        <w:spacing w:line="360" w:lineRule="auto"/>
        <w:ind w:firstLine="480" w:firstLineChars="200"/>
        <w:rPr>
          <w:rFonts w:hint="eastAsia" w:ascii="宋体" w:hAnsi="宋体"/>
          <w:sz w:val="24"/>
        </w:rPr>
      </w:pPr>
      <w:r>
        <w:rPr>
          <w:rFonts w:hint="eastAsia" w:ascii="宋体" w:hAnsi="宋体"/>
          <w:sz w:val="24"/>
        </w:rPr>
        <w:t>设备处置：系统支持设备的报废申请、审批、处置等。</w:t>
      </w:r>
    </w:p>
    <w:p>
      <w:pPr>
        <w:spacing w:line="360" w:lineRule="auto"/>
        <w:ind w:firstLine="480" w:firstLineChars="200"/>
        <w:rPr>
          <w:rFonts w:hint="eastAsia" w:ascii="宋体" w:hAnsi="宋体"/>
          <w:sz w:val="24"/>
        </w:rPr>
      </w:pPr>
      <w:r>
        <w:rPr>
          <w:rFonts w:hint="eastAsia" w:ascii="宋体" w:hAnsi="宋体"/>
          <w:sz w:val="24"/>
        </w:rPr>
        <w:t>期间核查：支持编制设备期间核查计划，并按照期间核查内容进行设备期间核查记录。</w:t>
      </w:r>
    </w:p>
    <w:p>
      <w:pPr>
        <w:spacing w:line="360" w:lineRule="auto"/>
        <w:rPr>
          <w:rFonts w:hint="eastAsia" w:ascii="宋体" w:hAnsi="宋体"/>
          <w:b/>
          <w:bCs/>
          <w:sz w:val="24"/>
          <w:szCs w:val="22"/>
        </w:rPr>
      </w:pPr>
      <w:r>
        <w:rPr>
          <w:rFonts w:hint="eastAsia" w:ascii="宋体" w:hAnsi="宋体"/>
          <w:b/>
          <w:bCs/>
          <w:sz w:val="24"/>
          <w:szCs w:val="22"/>
        </w:rPr>
        <w:t>3.2.3 样品管理</w:t>
      </w:r>
    </w:p>
    <w:p>
      <w:pPr>
        <w:spacing w:line="360" w:lineRule="auto"/>
        <w:ind w:firstLine="480" w:firstLineChars="200"/>
        <w:rPr>
          <w:rFonts w:hint="eastAsia" w:ascii="宋体" w:hAnsi="宋体"/>
          <w:sz w:val="24"/>
        </w:rPr>
      </w:pPr>
      <w:r>
        <w:rPr>
          <w:rFonts w:hint="eastAsia" w:ascii="宋体" w:hAnsi="宋体"/>
          <w:sz w:val="24"/>
        </w:rPr>
        <w:t>样品登记：在样品进入实验室时进行登记，系统记录样品的基本信息、来源、检测项目等。</w:t>
      </w:r>
    </w:p>
    <w:p>
      <w:pPr>
        <w:spacing w:line="360" w:lineRule="auto"/>
        <w:ind w:firstLine="480" w:firstLineChars="200"/>
        <w:rPr>
          <w:rFonts w:hint="eastAsia" w:ascii="宋体" w:hAnsi="宋体"/>
          <w:sz w:val="24"/>
        </w:rPr>
      </w:pPr>
      <w:r>
        <w:rPr>
          <w:rFonts w:hint="eastAsia" w:ascii="宋体" w:hAnsi="宋体"/>
          <w:sz w:val="24"/>
        </w:rPr>
        <w:t>样品标识：给每个样品一个唯一的标识，以便于后续的跟踪和管理。</w:t>
      </w:r>
    </w:p>
    <w:p>
      <w:pPr>
        <w:spacing w:line="360" w:lineRule="auto"/>
        <w:ind w:firstLine="480" w:firstLineChars="200"/>
        <w:rPr>
          <w:rFonts w:hint="eastAsia" w:ascii="宋体" w:hAnsi="宋体"/>
          <w:sz w:val="24"/>
        </w:rPr>
      </w:pPr>
      <w:r>
        <w:rPr>
          <w:rFonts w:hint="eastAsia" w:ascii="宋体" w:hAnsi="宋体"/>
          <w:sz w:val="24"/>
        </w:rPr>
        <w:t>样品存储：根据样品的特性和检测要求，选择合适的存储条件，确保样品的质量不受影响。</w:t>
      </w:r>
    </w:p>
    <w:p>
      <w:pPr>
        <w:spacing w:line="360" w:lineRule="auto"/>
        <w:ind w:firstLine="480" w:firstLineChars="200"/>
        <w:rPr>
          <w:rFonts w:hint="eastAsia" w:ascii="宋体" w:hAnsi="宋体"/>
          <w:sz w:val="24"/>
        </w:rPr>
      </w:pPr>
      <w:r>
        <w:rPr>
          <w:rFonts w:hint="eastAsia" w:ascii="宋体" w:hAnsi="宋体"/>
          <w:sz w:val="24"/>
        </w:rPr>
        <w:t>样品流转：系统记录样品在实验室内的流转过程，包括接收、分发、检测、归还等环节。</w:t>
      </w:r>
    </w:p>
    <w:p>
      <w:pPr>
        <w:spacing w:line="360" w:lineRule="auto"/>
        <w:ind w:firstLine="480" w:firstLineChars="200"/>
        <w:rPr>
          <w:rFonts w:hint="eastAsia" w:ascii="宋体" w:hAnsi="宋体"/>
          <w:sz w:val="24"/>
        </w:rPr>
      </w:pPr>
      <w:r>
        <w:rPr>
          <w:rFonts w:hint="eastAsia" w:ascii="宋体" w:hAnsi="宋体"/>
          <w:sz w:val="24"/>
        </w:rPr>
        <w:t>样品处理：对样品进行必要的预处理，如粉碎、混合、稀释等，以满足检测要求。</w:t>
      </w:r>
    </w:p>
    <w:p>
      <w:pPr>
        <w:spacing w:line="360" w:lineRule="auto"/>
        <w:ind w:firstLine="480" w:firstLineChars="200"/>
        <w:rPr>
          <w:rFonts w:hint="eastAsia" w:ascii="宋体" w:hAnsi="宋体"/>
          <w:sz w:val="24"/>
        </w:rPr>
      </w:pPr>
      <w:r>
        <w:rPr>
          <w:rFonts w:hint="eastAsia" w:ascii="宋体" w:hAnsi="宋体"/>
          <w:sz w:val="24"/>
        </w:rPr>
        <w:t>样品保留：按照规定的时间和条件保留样品，以备复检或仲裁。</w:t>
      </w:r>
    </w:p>
    <w:p>
      <w:pPr>
        <w:spacing w:line="360" w:lineRule="auto"/>
        <w:ind w:firstLine="480" w:firstLineChars="200"/>
        <w:rPr>
          <w:rFonts w:hint="eastAsia" w:ascii="宋体" w:hAnsi="宋体"/>
          <w:b/>
          <w:bCs/>
          <w:sz w:val="24"/>
          <w:szCs w:val="22"/>
        </w:rPr>
      </w:pPr>
      <w:r>
        <w:rPr>
          <w:rFonts w:hint="eastAsia" w:ascii="宋体" w:hAnsi="宋体"/>
          <w:sz w:val="24"/>
        </w:rPr>
        <w:t>样品销毁：对于超过保留期的样品，按照规定的程序进行销毁，防止样品的泄露和误用。</w:t>
      </w:r>
      <w:r>
        <w:rPr>
          <w:rFonts w:hint="eastAsia" w:ascii="宋体" w:hAnsi="宋体"/>
          <w:sz w:val="24"/>
        </w:rPr>
        <w:br w:type="textWrapping"/>
      </w:r>
      <w:r>
        <w:rPr>
          <w:rFonts w:hint="eastAsia" w:ascii="宋体" w:hAnsi="宋体"/>
          <w:b/>
          <w:bCs/>
          <w:sz w:val="24"/>
          <w:szCs w:val="22"/>
        </w:rPr>
        <w:t>3.2.4 方法管理</w:t>
      </w:r>
    </w:p>
    <w:p>
      <w:pPr>
        <w:spacing w:line="360" w:lineRule="auto"/>
        <w:ind w:firstLine="480" w:firstLineChars="200"/>
        <w:rPr>
          <w:rFonts w:hint="eastAsia" w:ascii="宋体" w:hAnsi="宋体"/>
          <w:sz w:val="24"/>
        </w:rPr>
      </w:pPr>
      <w:r>
        <w:rPr>
          <w:rFonts w:hint="eastAsia" w:ascii="宋体" w:hAnsi="宋体"/>
          <w:sz w:val="24"/>
        </w:rPr>
        <w:t>按检测物资-检测项目-检测标准搭建试验方法模型，能够支持质量检测人员快速维护试验方法，并通过版本管理方式快速更新和应用到不同的物资检测试验。</w:t>
      </w:r>
    </w:p>
    <w:p>
      <w:pPr>
        <w:rPr>
          <w:rFonts w:hint="eastAsia" w:ascii="宋体" w:hAnsi="宋体"/>
          <w:b/>
          <w:bCs/>
          <w:sz w:val="24"/>
          <w:szCs w:val="22"/>
        </w:rPr>
      </w:pPr>
      <w:r>
        <w:rPr>
          <w:rFonts w:hint="eastAsia" w:ascii="宋体" w:hAnsi="宋体"/>
          <w:b/>
          <w:bCs/>
          <w:sz w:val="24"/>
          <w:szCs w:val="22"/>
        </w:rPr>
        <w:t>3.2.5 设施和环境管理</w:t>
      </w:r>
    </w:p>
    <w:p>
      <w:pPr>
        <w:spacing w:line="360" w:lineRule="auto"/>
        <w:ind w:firstLine="480" w:firstLineChars="200"/>
        <w:rPr>
          <w:rFonts w:hint="eastAsia" w:ascii="宋体" w:hAnsi="宋体"/>
          <w:sz w:val="24"/>
        </w:rPr>
      </w:pPr>
      <w:r>
        <w:rPr>
          <w:rFonts w:hint="eastAsia" w:ascii="宋体" w:hAnsi="宋体"/>
          <w:sz w:val="24"/>
        </w:rPr>
        <w:t>设施登记：记录实验室内的各种设施信息，包括设备名称、型号、生产厂家、购置日期等。</w:t>
      </w:r>
    </w:p>
    <w:p>
      <w:pPr>
        <w:spacing w:line="360" w:lineRule="auto"/>
        <w:ind w:firstLine="480" w:firstLineChars="200"/>
        <w:rPr>
          <w:rFonts w:hint="eastAsia" w:ascii="宋体" w:hAnsi="宋体"/>
          <w:sz w:val="24"/>
        </w:rPr>
      </w:pPr>
      <w:r>
        <w:rPr>
          <w:rFonts w:hint="eastAsia" w:ascii="宋体" w:hAnsi="宋体"/>
          <w:sz w:val="24"/>
        </w:rPr>
        <w:t>设备维护：制定设备的定期维护计划，记录每次维护的情况，确保设备处于良好的工作状态。</w:t>
      </w:r>
    </w:p>
    <w:p>
      <w:pPr>
        <w:spacing w:line="360" w:lineRule="auto"/>
        <w:ind w:firstLine="480" w:firstLineChars="200"/>
        <w:rPr>
          <w:rFonts w:hint="eastAsia" w:ascii="宋体" w:hAnsi="宋体"/>
          <w:sz w:val="24"/>
        </w:rPr>
      </w:pPr>
      <w:r>
        <w:rPr>
          <w:rFonts w:hint="eastAsia" w:ascii="宋体" w:hAnsi="宋体"/>
          <w:sz w:val="24"/>
        </w:rPr>
        <w:t>环境监控：对实验室的环境条件进行监控，如温度、湿度、洁净度等，确保这些条件符合检测要求。</w:t>
      </w:r>
    </w:p>
    <w:p>
      <w:pPr>
        <w:spacing w:line="360" w:lineRule="auto"/>
        <w:ind w:firstLine="480" w:firstLineChars="200"/>
        <w:rPr>
          <w:rFonts w:hint="eastAsia" w:ascii="宋体" w:hAnsi="宋体"/>
          <w:sz w:val="24"/>
        </w:rPr>
      </w:pPr>
      <w:r>
        <w:rPr>
          <w:rFonts w:hint="eastAsia" w:ascii="宋体" w:hAnsi="宋体"/>
          <w:sz w:val="24"/>
        </w:rPr>
        <w:t>安全管理：制定实验室的安全管理制度，包括安全操作规程、应急预案等，确保实验室的安全。资源管理：管理实验室的各种资源，如试剂、耗材等，确保资源的合理使用。</w:t>
      </w:r>
    </w:p>
    <w:p>
      <w:pPr>
        <w:spacing w:line="360" w:lineRule="auto"/>
        <w:ind w:firstLine="480" w:firstLineChars="200"/>
        <w:rPr>
          <w:rFonts w:hint="eastAsia" w:ascii="宋体" w:hAnsi="宋体"/>
          <w:sz w:val="24"/>
        </w:rPr>
      </w:pPr>
      <w:r>
        <w:rPr>
          <w:rFonts w:hint="eastAsia" w:ascii="宋体" w:hAnsi="宋体"/>
          <w:sz w:val="24"/>
        </w:rPr>
        <w:t>设施和环境的变更管理：记录设施和环境的任何变更，分析变更可能带来的影响，并采取相应的措施。</w:t>
      </w:r>
    </w:p>
    <w:p>
      <w:pPr>
        <w:pStyle w:val="30"/>
        <w:numPr>
          <w:ilvl w:val="0"/>
          <w:numId w:val="0"/>
        </w:numPr>
        <w:ind w:left="576" w:hanging="576"/>
      </w:pPr>
      <w:bookmarkStart w:id="108" w:name="_Toc20457"/>
      <w:bookmarkStart w:id="109" w:name="_Toc202442839"/>
      <w:r>
        <w:rPr>
          <w:rFonts w:hint="eastAsia"/>
        </w:rPr>
        <w:t>3.3突出功能</w:t>
      </w:r>
      <w:bookmarkEnd w:id="108"/>
      <w:bookmarkEnd w:id="109"/>
    </w:p>
    <w:p>
      <w:pPr>
        <w:rPr>
          <w:rFonts w:hint="eastAsia" w:ascii="宋体" w:hAnsi="宋体"/>
          <w:b/>
          <w:bCs/>
          <w:sz w:val="24"/>
          <w:szCs w:val="22"/>
        </w:rPr>
      </w:pPr>
      <w:r>
        <w:rPr>
          <w:rFonts w:hint="eastAsia" w:ascii="宋体" w:hAnsi="宋体"/>
          <w:b/>
          <w:bCs/>
          <w:sz w:val="24"/>
          <w:szCs w:val="22"/>
        </w:rPr>
        <w:t>3.3.1 报表管理</w:t>
      </w:r>
    </w:p>
    <w:p>
      <w:pPr>
        <w:pStyle w:val="27"/>
        <w:tabs>
          <w:tab w:val="left" w:pos="0"/>
        </w:tabs>
        <w:ind w:firstLine="0" w:firstLineChars="0"/>
        <w:rPr>
          <w:rFonts w:hint="eastAsia" w:ascii="宋体" w:hAnsi="宋体"/>
          <w:b/>
          <w:bCs/>
          <w:sz w:val="24"/>
          <w:szCs w:val="22"/>
        </w:rPr>
      </w:pPr>
      <w:r>
        <w:rPr>
          <w:rFonts w:hint="eastAsia" w:ascii="宋体" w:hAnsi="宋体"/>
          <w:b/>
          <w:bCs/>
          <w:sz w:val="24"/>
          <w:szCs w:val="22"/>
        </w:rPr>
        <w:t>3.3.1.1 样品进度报表</w:t>
      </w:r>
    </w:p>
    <w:p>
      <w:pPr>
        <w:spacing w:line="360" w:lineRule="auto"/>
        <w:ind w:firstLine="480" w:firstLineChars="200"/>
        <w:rPr>
          <w:rFonts w:hint="eastAsia" w:ascii="宋体" w:hAnsi="宋体" w:cs="宋体"/>
          <w:sz w:val="24"/>
        </w:rPr>
      </w:pPr>
      <w:r>
        <w:rPr>
          <w:rFonts w:hint="eastAsia" w:ascii="宋体" w:hAnsi="宋体" w:cs="宋体"/>
          <w:sz w:val="24"/>
        </w:rPr>
        <w:t>支持用户按照预先自定义的内容进行模糊搜索；支持按照委托(申请单号)、样品、报告进行全数据查询；搜索结果能够直观展示当前所有样品的检测进度，并支持可视化展示进度状态。</w:t>
      </w:r>
    </w:p>
    <w:p>
      <w:pPr>
        <w:rPr>
          <w:rFonts w:hint="eastAsia" w:ascii="宋体" w:hAnsi="宋体"/>
          <w:b/>
          <w:bCs/>
          <w:sz w:val="24"/>
          <w:szCs w:val="22"/>
        </w:rPr>
      </w:pPr>
      <w:r>
        <w:rPr>
          <w:rFonts w:hint="eastAsia" w:ascii="宋体" w:hAnsi="宋体"/>
          <w:b/>
          <w:bCs/>
          <w:sz w:val="24"/>
          <w:szCs w:val="22"/>
        </w:rPr>
        <w:t>3.3.1.2 检测项目数据报表</w:t>
      </w:r>
    </w:p>
    <w:p>
      <w:pPr>
        <w:spacing w:line="360" w:lineRule="auto"/>
        <w:ind w:firstLine="480" w:firstLineChars="200"/>
        <w:rPr>
          <w:rFonts w:hint="eastAsia" w:ascii="宋体" w:hAnsi="宋体" w:cs="宋体"/>
          <w:sz w:val="24"/>
        </w:rPr>
      </w:pPr>
      <w:r>
        <w:rPr>
          <w:rFonts w:hint="eastAsia" w:ascii="宋体" w:hAnsi="宋体" w:cs="宋体"/>
          <w:sz w:val="24"/>
        </w:rPr>
        <w:t>支持按照预定义的模糊搜索条件对历史数据进行搜索，例如支持按照生产订单、批次、样品编号、样品名称等；支持对历史报告的所有检测项目中的检测数据查看和导出，提升检测结果的横向比较能力；支持对查询下所有的检测样品和相关检测项目及关键参数的导出。</w:t>
      </w:r>
    </w:p>
    <w:p>
      <w:pPr>
        <w:rPr>
          <w:rFonts w:hint="eastAsia" w:ascii="宋体" w:hAnsi="宋体"/>
          <w:b/>
          <w:bCs/>
          <w:sz w:val="24"/>
          <w:szCs w:val="22"/>
        </w:rPr>
      </w:pPr>
      <w:r>
        <w:rPr>
          <w:rFonts w:hint="eastAsia" w:ascii="宋体" w:hAnsi="宋体"/>
          <w:b/>
          <w:bCs/>
          <w:sz w:val="24"/>
          <w:szCs w:val="22"/>
        </w:rPr>
        <w:t>3.3.1.3 设备使用记录</w:t>
      </w:r>
    </w:p>
    <w:p>
      <w:pPr>
        <w:spacing w:line="360" w:lineRule="auto"/>
        <w:ind w:firstLine="480" w:firstLineChars="200"/>
        <w:rPr>
          <w:rFonts w:hint="eastAsia" w:ascii="宋体" w:hAnsi="宋体"/>
          <w:b/>
          <w:bCs/>
          <w:sz w:val="24"/>
          <w:szCs w:val="22"/>
        </w:rPr>
      </w:pPr>
      <w:r>
        <w:rPr>
          <w:rFonts w:hint="eastAsia" w:ascii="宋体" w:hAnsi="宋体" w:cs="宋体"/>
          <w:sz w:val="24"/>
        </w:rPr>
        <w:t>支持展示仪器设备使用记录查询统计；支持按照设备编号、设备名称查询某台设备历史使用记录；支持按照使用周期、样品查询使用记录；支持使用记录导出下载和导出。</w:t>
      </w:r>
    </w:p>
    <w:p>
      <w:pPr>
        <w:rPr>
          <w:rFonts w:hint="eastAsia" w:ascii="宋体" w:hAnsi="宋体"/>
          <w:b/>
          <w:bCs/>
          <w:sz w:val="24"/>
          <w:szCs w:val="22"/>
        </w:rPr>
      </w:pPr>
      <w:r>
        <w:rPr>
          <w:rFonts w:hint="eastAsia" w:ascii="宋体" w:hAnsi="宋体"/>
          <w:b/>
          <w:bCs/>
          <w:sz w:val="24"/>
          <w:szCs w:val="22"/>
        </w:rPr>
        <w:t>3.3.1.4 样品领用记录</w:t>
      </w:r>
    </w:p>
    <w:p>
      <w:pPr>
        <w:spacing w:line="360" w:lineRule="auto"/>
        <w:ind w:firstLine="480" w:firstLineChars="200"/>
        <w:rPr>
          <w:rFonts w:hint="eastAsia" w:ascii="宋体" w:hAnsi="宋体" w:cs="宋体"/>
          <w:sz w:val="24"/>
        </w:rPr>
      </w:pPr>
      <w:r>
        <w:rPr>
          <w:rFonts w:hint="eastAsia" w:ascii="宋体" w:hAnsi="宋体" w:cs="宋体"/>
          <w:sz w:val="24"/>
        </w:rPr>
        <w:t>支持查询样品的领用记录或流转记录；支持按照时间周期、样品编号、样品名称、客户名称等查询样品领用流转记录；支持使用记录报表下载导出。</w:t>
      </w:r>
    </w:p>
    <w:p>
      <w:pPr>
        <w:pStyle w:val="27"/>
        <w:tabs>
          <w:tab w:val="left" w:pos="0"/>
        </w:tabs>
        <w:spacing w:line="360" w:lineRule="auto"/>
        <w:ind w:firstLine="0" w:firstLineChars="0"/>
        <w:rPr>
          <w:rFonts w:hint="eastAsia" w:ascii="宋体" w:hAnsi="宋体"/>
          <w:b/>
          <w:bCs/>
          <w:sz w:val="24"/>
          <w:szCs w:val="22"/>
        </w:rPr>
      </w:pPr>
      <w:r>
        <w:rPr>
          <w:rFonts w:hint="eastAsia" w:ascii="宋体" w:hAnsi="宋体"/>
          <w:b/>
          <w:bCs/>
          <w:sz w:val="24"/>
          <w:szCs w:val="22"/>
        </w:rPr>
        <w:t xml:space="preserve">3.3.2 </w:t>
      </w:r>
      <w:r>
        <w:rPr>
          <w:rFonts w:hint="eastAsia" w:ascii="宋体" w:hAnsi="宋体"/>
          <w:b/>
          <w:bCs/>
          <w:sz w:val="24"/>
        </w:rPr>
        <w:t>统计</w:t>
      </w:r>
      <w:r>
        <w:rPr>
          <w:rFonts w:hint="eastAsia" w:ascii="宋体" w:hAnsi="宋体"/>
          <w:b/>
          <w:bCs/>
          <w:sz w:val="24"/>
          <w:szCs w:val="22"/>
        </w:rPr>
        <w:t>分析</w:t>
      </w:r>
      <w:r>
        <w:rPr>
          <w:rFonts w:hint="eastAsia" w:ascii="宋体" w:hAnsi="宋体"/>
          <w:b/>
          <w:bCs/>
          <w:sz w:val="24"/>
          <w:szCs w:val="22"/>
        </w:rPr>
        <w:br w:type="textWrapping"/>
      </w:r>
      <w:r>
        <w:rPr>
          <w:rFonts w:hint="eastAsia" w:ascii="宋体" w:hAnsi="宋体"/>
          <w:b/>
          <w:bCs/>
          <w:sz w:val="24"/>
          <w:szCs w:val="22"/>
        </w:rPr>
        <w:t>3.3.2.1 数据看板</w:t>
      </w:r>
    </w:p>
    <w:p>
      <w:pPr>
        <w:spacing w:line="360" w:lineRule="auto"/>
        <w:ind w:firstLine="480" w:firstLineChars="200"/>
        <w:rPr>
          <w:rFonts w:hint="eastAsia" w:ascii="宋体" w:hAnsi="宋体" w:cs="宋体"/>
          <w:sz w:val="24"/>
        </w:rPr>
      </w:pPr>
      <w:r>
        <w:rPr>
          <w:rFonts w:hint="eastAsia" w:ascii="宋体" w:hAnsi="宋体" w:cs="宋体"/>
          <w:sz w:val="24"/>
        </w:rPr>
        <w:t>支持低代码灵活配置各指标图表并形成数据看板，通过数据看板可直观对当前检测业务实时进度掌握。展示内容包括对检测样品情况展示、分配的检测任务数、提交原始记录和报告排行、待认领、待检、待审核、待编制报告的样品统计、原材料检验结果展示、半成品检验结果展示、成品检验结果展示等，以及对诸如样品领用、检测执行、报告提交的相关紧急事项的大屏语音播报等，以上支持自定义统计时间。</w:t>
      </w:r>
    </w:p>
    <w:p>
      <w:pPr>
        <w:rPr>
          <w:rFonts w:hint="eastAsia" w:ascii="宋体" w:hAnsi="宋体"/>
          <w:b/>
          <w:bCs/>
          <w:sz w:val="24"/>
          <w:szCs w:val="22"/>
        </w:rPr>
      </w:pPr>
      <w:r>
        <w:rPr>
          <w:rFonts w:hint="eastAsia" w:ascii="宋体" w:hAnsi="宋体"/>
          <w:b/>
          <w:bCs/>
          <w:sz w:val="24"/>
          <w:szCs w:val="22"/>
        </w:rPr>
        <w:t>3.3.2.2 合格率统计</w:t>
      </w:r>
    </w:p>
    <w:p>
      <w:pPr>
        <w:spacing w:line="360" w:lineRule="auto"/>
        <w:ind w:firstLine="480" w:firstLineChars="200"/>
        <w:rPr>
          <w:rFonts w:hint="eastAsia" w:ascii="宋体" w:hAnsi="宋体" w:cs="宋体"/>
          <w:sz w:val="24"/>
        </w:rPr>
      </w:pPr>
      <w:r>
        <w:rPr>
          <w:rFonts w:hint="eastAsia" w:ascii="宋体" w:hAnsi="宋体" w:cs="宋体"/>
          <w:sz w:val="24"/>
        </w:rPr>
        <w:t>系统需支持查看一段时间内原材料不同检验批次的检验合格率情况；支持查看一段时间内不合格供应商的发生次数情况；支持原材料检验中不合格项目的帕累托图的分析图展示；支持过程和成品检验各工序的检验合格率情况；支持不同机台的检验不合格发生次数统计情况；支持各工序不合格项目的发生帕累托图分析。</w:t>
      </w:r>
    </w:p>
    <w:p>
      <w:pPr>
        <w:rPr>
          <w:rFonts w:hint="eastAsia" w:ascii="宋体" w:hAnsi="宋体"/>
          <w:b/>
          <w:bCs/>
          <w:sz w:val="24"/>
          <w:szCs w:val="22"/>
        </w:rPr>
      </w:pPr>
      <w:r>
        <w:rPr>
          <w:rFonts w:hint="eastAsia" w:ascii="宋体" w:hAnsi="宋体"/>
          <w:b/>
          <w:bCs/>
          <w:sz w:val="24"/>
          <w:szCs w:val="22"/>
        </w:rPr>
        <w:t>3.3.2.3 SPC控制图</w:t>
      </w:r>
    </w:p>
    <w:p>
      <w:pPr>
        <w:spacing w:line="360" w:lineRule="auto"/>
        <w:ind w:firstLine="480" w:firstLineChars="200"/>
        <w:rPr>
          <w:rFonts w:hint="eastAsia" w:ascii="宋体" w:hAnsi="宋体" w:cs="宋体"/>
          <w:sz w:val="24"/>
        </w:rPr>
      </w:pPr>
      <w:r>
        <w:rPr>
          <w:rFonts w:hint="eastAsia" w:ascii="宋体" w:hAnsi="宋体" w:cs="宋体"/>
          <w:sz w:val="24"/>
        </w:rPr>
        <w:t>系统需支持用户自定义任意项目的关键参数控制图分析；支持用户设定控制图标准上下限阈值；支持根据控制图子组大小分析控制图数据精度；支持根据分析数据内容查看相关工序的制程能力；支持对查询结果的元数据进行导出分析。</w:t>
      </w:r>
    </w:p>
    <w:p>
      <w:pPr>
        <w:rPr>
          <w:rFonts w:hint="eastAsia" w:ascii="宋体" w:hAnsi="宋体"/>
          <w:b/>
          <w:bCs/>
          <w:sz w:val="24"/>
          <w:szCs w:val="22"/>
        </w:rPr>
      </w:pPr>
      <w:r>
        <w:rPr>
          <w:rFonts w:hint="eastAsia" w:ascii="宋体" w:hAnsi="宋体"/>
          <w:b/>
          <w:bCs/>
          <w:sz w:val="24"/>
          <w:szCs w:val="22"/>
        </w:rPr>
        <w:t>3.3.2.4 正态分布图</w:t>
      </w:r>
    </w:p>
    <w:p>
      <w:pPr>
        <w:spacing w:line="360" w:lineRule="auto"/>
        <w:ind w:firstLine="480" w:firstLineChars="200"/>
        <w:rPr>
          <w:rFonts w:hint="eastAsia" w:ascii="宋体" w:hAnsi="宋体" w:cs="宋体"/>
          <w:sz w:val="24"/>
        </w:rPr>
      </w:pPr>
      <w:r>
        <w:rPr>
          <w:rFonts w:hint="eastAsia" w:ascii="宋体" w:hAnsi="宋体" w:cs="宋体"/>
          <w:sz w:val="24"/>
        </w:rPr>
        <w:t>系统需支持用户自定义任意项目的关键参数正态分布图分析；支持根据查询结果系统自动绘制正态分布图；支持对查询结果的元数据进行导出分析。</w:t>
      </w:r>
    </w:p>
    <w:p>
      <w:pPr>
        <w:pStyle w:val="3"/>
        <w:rPr>
          <w:rFonts w:hint="eastAsia"/>
        </w:rPr>
      </w:pPr>
      <w:bookmarkStart w:id="110" w:name="_Toc30975"/>
      <w:bookmarkStart w:id="111" w:name="_Toc202442840"/>
      <w:r>
        <w:rPr>
          <w:rFonts w:hint="eastAsia"/>
        </w:rPr>
        <w:t>四 软硬件配置要求</w:t>
      </w:r>
      <w:bookmarkEnd w:id="110"/>
      <w:bookmarkEnd w:id="111"/>
    </w:p>
    <w:p>
      <w:pPr>
        <w:pStyle w:val="30"/>
        <w:numPr>
          <w:ilvl w:val="0"/>
          <w:numId w:val="0"/>
        </w:numPr>
        <w:ind w:left="576" w:hanging="576"/>
      </w:pPr>
      <w:bookmarkStart w:id="112" w:name="_Toc202442841"/>
      <w:bookmarkStart w:id="113" w:name="_Toc5563"/>
      <w:r>
        <w:rPr>
          <w:rFonts w:hint="eastAsia"/>
        </w:rPr>
        <w:t>4.1性能要求</w:t>
      </w:r>
      <w:bookmarkEnd w:id="112"/>
      <w:bookmarkEnd w:id="113"/>
    </w:p>
    <w:p>
      <w:pPr>
        <w:spacing w:line="360" w:lineRule="auto"/>
        <w:ind w:firstLine="480" w:firstLineChars="200"/>
        <w:rPr>
          <w:rFonts w:hint="eastAsia" w:ascii="宋体" w:hAnsi="宋体" w:cs="宋体"/>
          <w:sz w:val="24"/>
        </w:rPr>
      </w:pPr>
      <w:r>
        <w:rPr>
          <w:rFonts w:hint="eastAsia" w:ascii="宋体" w:hAnsi="宋体" w:cs="宋体"/>
          <w:sz w:val="24"/>
        </w:rPr>
        <w:t>（1)系统响应方面应满足以下指标要求（响应实时性指标要求均为在最大并发用户数条件下的响应时间要求）：</w:t>
      </w:r>
    </w:p>
    <w:p>
      <w:pPr>
        <w:pStyle w:val="27"/>
      </w:pPr>
      <w:r>
        <w:rPr>
          <w:rFonts w:hint="eastAsia"/>
        </w:rPr>
        <w:t>●普通事务处理响应时间≤3秒；</w:t>
      </w:r>
    </w:p>
    <w:p>
      <w:pPr>
        <w:pStyle w:val="27"/>
      </w:pPr>
      <w:r>
        <w:rPr>
          <w:rFonts w:hint="eastAsia"/>
        </w:rPr>
        <w:t>●简单查询类响应时间≤5秒；</w:t>
      </w:r>
    </w:p>
    <w:p>
      <w:pPr>
        <w:pStyle w:val="27"/>
      </w:pPr>
      <w:r>
        <w:rPr>
          <w:rFonts w:hint="eastAsia"/>
        </w:rPr>
        <w:t>●多条件、模糊查询类响应≤10秒；</w:t>
      </w:r>
    </w:p>
    <w:p>
      <w:pPr>
        <w:pStyle w:val="27"/>
      </w:pPr>
      <w:r>
        <w:rPr>
          <w:rFonts w:hint="eastAsia"/>
        </w:rPr>
        <w:t>●简单统计类，如日报表，周报表等，响应时间≤15秒；</w:t>
      </w:r>
    </w:p>
    <w:p>
      <w:pPr>
        <w:pStyle w:val="27"/>
      </w:pPr>
      <w:r>
        <w:rPr>
          <w:rFonts w:hint="eastAsia"/>
        </w:rPr>
        <w:t>●复杂统计类，如季度、年统计业务，响应时间≤30秒。</w:t>
      </w:r>
    </w:p>
    <w:p>
      <w:pPr>
        <w:spacing w:line="360" w:lineRule="auto"/>
        <w:ind w:firstLine="480" w:firstLineChars="200"/>
        <w:rPr>
          <w:rFonts w:hint="eastAsia" w:ascii="宋体" w:hAnsi="宋体" w:cs="宋体"/>
          <w:sz w:val="24"/>
        </w:rPr>
      </w:pPr>
      <w:r>
        <w:rPr>
          <w:rFonts w:hint="eastAsia" w:ascii="宋体" w:hAnsi="宋体" w:cs="宋体"/>
          <w:sz w:val="24"/>
        </w:rPr>
        <w:t>（2)系统同时可容纳用户数要求不小于500人，在线用户数量为100人时系统性能没有明显下降。</w:t>
      </w:r>
    </w:p>
    <w:p>
      <w:pPr>
        <w:pStyle w:val="30"/>
        <w:numPr>
          <w:ilvl w:val="0"/>
          <w:numId w:val="0"/>
        </w:numPr>
        <w:ind w:left="576" w:hanging="576"/>
      </w:pPr>
      <w:bookmarkStart w:id="114" w:name="_Toc202442842"/>
      <w:bookmarkStart w:id="115" w:name="_Toc29242"/>
      <w:r>
        <w:rPr>
          <w:rFonts w:hint="eastAsia"/>
        </w:rPr>
        <w:t>4.2可靠性要求</w:t>
      </w:r>
      <w:bookmarkEnd w:id="114"/>
      <w:bookmarkEnd w:id="115"/>
    </w:p>
    <w:p>
      <w:pPr>
        <w:spacing w:line="360" w:lineRule="auto"/>
        <w:ind w:firstLine="480" w:firstLineChars="200"/>
        <w:rPr>
          <w:rFonts w:hint="eastAsia" w:ascii="宋体" w:hAnsi="宋体" w:cs="宋体"/>
          <w:sz w:val="24"/>
        </w:rPr>
      </w:pPr>
      <w:r>
        <w:rPr>
          <w:rFonts w:hint="eastAsia" w:ascii="宋体" w:hAnsi="宋体" w:cs="宋体"/>
          <w:sz w:val="24"/>
        </w:rPr>
        <w:t>（1)系统应保证7×24小时不间断运行。</w:t>
      </w:r>
    </w:p>
    <w:p>
      <w:pPr>
        <w:spacing w:line="360" w:lineRule="auto"/>
        <w:ind w:firstLine="480" w:firstLineChars="200"/>
        <w:rPr>
          <w:rFonts w:hint="eastAsia" w:ascii="宋体" w:hAnsi="宋体" w:cs="宋体"/>
          <w:sz w:val="24"/>
        </w:rPr>
      </w:pPr>
      <w:r>
        <w:rPr>
          <w:rFonts w:hint="eastAsia" w:ascii="宋体" w:hAnsi="宋体" w:cs="宋体"/>
          <w:sz w:val="24"/>
        </w:rPr>
        <w:t>（2)平均故障间隔时间（MTBF）应大于12个月。</w:t>
      </w:r>
    </w:p>
    <w:p>
      <w:pPr>
        <w:spacing w:line="360" w:lineRule="auto"/>
        <w:ind w:firstLine="480" w:firstLineChars="200"/>
        <w:rPr>
          <w:rFonts w:hint="eastAsia" w:ascii="宋体" w:hAnsi="宋体" w:cs="宋体"/>
          <w:sz w:val="24"/>
        </w:rPr>
      </w:pPr>
      <w:r>
        <w:rPr>
          <w:rFonts w:hint="eastAsia" w:ascii="宋体" w:hAnsi="宋体" w:cs="宋体"/>
          <w:sz w:val="24"/>
        </w:rPr>
        <w:t>（3)故障平均修复时间（MTTR）小于4小时。</w:t>
      </w:r>
    </w:p>
    <w:p>
      <w:pPr>
        <w:spacing w:line="360" w:lineRule="auto"/>
        <w:ind w:firstLine="480" w:firstLineChars="200"/>
        <w:rPr>
          <w:rFonts w:hint="eastAsia" w:ascii="仿宋" w:hAnsi="仿宋" w:eastAsia="仿宋"/>
          <w:sz w:val="32"/>
          <w:szCs w:val="32"/>
        </w:rPr>
      </w:pPr>
      <w:r>
        <w:rPr>
          <w:rFonts w:hint="eastAsia" w:ascii="宋体" w:hAnsi="宋体" w:cs="宋体"/>
          <w:sz w:val="24"/>
        </w:rPr>
        <w:t>（4）版本升级或改进应在不影响业务的情况下进行，保证系统可以稳定、平滑过渡。</w:t>
      </w:r>
    </w:p>
    <w:p>
      <w:pPr>
        <w:pStyle w:val="30"/>
        <w:numPr>
          <w:ilvl w:val="0"/>
          <w:numId w:val="0"/>
        </w:numPr>
        <w:ind w:left="576" w:hanging="576"/>
      </w:pPr>
      <w:bookmarkStart w:id="116" w:name="_Toc202442843"/>
      <w:bookmarkStart w:id="117" w:name="_Toc5269"/>
      <w:r>
        <w:rPr>
          <w:rFonts w:hint="eastAsia"/>
        </w:rPr>
        <w:t>4.3可维护性要求</w:t>
      </w:r>
      <w:bookmarkEnd w:id="116"/>
      <w:bookmarkEnd w:id="117"/>
    </w:p>
    <w:p>
      <w:pPr>
        <w:spacing w:line="360" w:lineRule="auto"/>
        <w:ind w:firstLine="480" w:firstLineChars="200"/>
        <w:rPr>
          <w:rFonts w:hint="eastAsia" w:ascii="宋体" w:hAnsi="宋体" w:cs="宋体"/>
          <w:sz w:val="24"/>
        </w:rPr>
      </w:pPr>
      <w:r>
        <w:rPr>
          <w:rFonts w:hint="eastAsia" w:ascii="宋体" w:hAnsi="宋体" w:cs="宋体"/>
          <w:sz w:val="24"/>
        </w:rPr>
        <w:t>（1）应用系统出现异常错误报告时，必须能够提供详细的异常信息。</w:t>
      </w:r>
    </w:p>
    <w:p>
      <w:pPr>
        <w:spacing w:line="360" w:lineRule="auto"/>
        <w:ind w:firstLine="480" w:firstLineChars="200"/>
        <w:rPr>
          <w:rFonts w:hint="eastAsia" w:ascii="宋体" w:hAnsi="宋体" w:cs="宋体"/>
          <w:sz w:val="24"/>
        </w:rPr>
      </w:pPr>
      <w:r>
        <w:rPr>
          <w:rFonts w:hint="eastAsia" w:ascii="宋体" w:hAnsi="宋体" w:cs="宋体"/>
          <w:sz w:val="24"/>
        </w:rPr>
        <w:t>（2）应用系统在运行过程中所发生的错误应该有明确的错误编号和对应说明。</w:t>
      </w:r>
    </w:p>
    <w:p>
      <w:pPr>
        <w:pStyle w:val="30"/>
        <w:numPr>
          <w:ilvl w:val="0"/>
          <w:numId w:val="0"/>
        </w:numPr>
        <w:ind w:left="576" w:hanging="576"/>
      </w:pPr>
      <w:bookmarkStart w:id="118" w:name="_Toc22066"/>
      <w:bookmarkStart w:id="119" w:name="_Toc202442844"/>
      <w:r>
        <w:rPr>
          <w:rFonts w:hint="eastAsia"/>
        </w:rPr>
        <w:t>4.4易用性要求</w:t>
      </w:r>
      <w:bookmarkEnd w:id="118"/>
      <w:bookmarkEnd w:id="119"/>
    </w:p>
    <w:p>
      <w:pPr>
        <w:spacing w:line="360" w:lineRule="auto"/>
        <w:ind w:firstLine="480" w:firstLineChars="200"/>
        <w:rPr>
          <w:rFonts w:hint="eastAsia" w:ascii="宋体" w:hAnsi="宋体" w:cs="宋体"/>
          <w:sz w:val="24"/>
        </w:rPr>
      </w:pPr>
      <w:r>
        <w:rPr>
          <w:rFonts w:hint="eastAsia" w:ascii="宋体" w:hAnsi="宋体" w:cs="宋体"/>
          <w:sz w:val="24"/>
        </w:rPr>
        <w:t>（1）提供友好的用户使用界面，用户可根据需要自定义界面风格；</w:t>
      </w:r>
    </w:p>
    <w:p>
      <w:pPr>
        <w:spacing w:line="360" w:lineRule="auto"/>
        <w:ind w:firstLine="480" w:firstLineChars="200"/>
        <w:rPr>
          <w:rFonts w:hint="eastAsia" w:ascii="宋体" w:hAnsi="宋体" w:cs="宋体"/>
          <w:sz w:val="24"/>
        </w:rPr>
      </w:pPr>
      <w:r>
        <w:rPr>
          <w:rFonts w:hint="eastAsia" w:ascii="宋体" w:hAnsi="宋体" w:cs="宋体"/>
          <w:sz w:val="24"/>
        </w:rPr>
        <w:t>（2）用户界面设计要求具备统一的布局风格和色彩搭配、符合现代化的设计理念以及人性化的设计需求。</w:t>
      </w:r>
    </w:p>
    <w:p>
      <w:pPr>
        <w:spacing w:line="360" w:lineRule="auto"/>
        <w:ind w:firstLine="480" w:firstLineChars="200"/>
        <w:rPr>
          <w:rFonts w:hint="eastAsia" w:ascii="宋体" w:hAnsi="宋体" w:cs="宋体"/>
          <w:sz w:val="24"/>
        </w:rPr>
      </w:pPr>
      <w:r>
        <w:rPr>
          <w:rFonts w:hint="eastAsia" w:ascii="宋体" w:hAnsi="宋体" w:cs="宋体"/>
          <w:sz w:val="24"/>
        </w:rPr>
        <w:t>（3）用户界面应当结构清晰、符合正常的自上而下，自左而右的操作习惯；界面内容应该根据业务需求合理分级，清晰展现不同层级数据之间的关系。</w:t>
      </w:r>
    </w:p>
    <w:p>
      <w:pPr>
        <w:spacing w:line="360" w:lineRule="auto"/>
        <w:ind w:firstLine="480" w:firstLineChars="200"/>
        <w:rPr>
          <w:rFonts w:hint="eastAsia" w:ascii="宋体" w:hAnsi="宋体" w:cs="宋体"/>
          <w:sz w:val="24"/>
        </w:rPr>
      </w:pPr>
      <w:r>
        <w:rPr>
          <w:rFonts w:hint="eastAsia" w:ascii="宋体" w:hAnsi="宋体" w:cs="宋体"/>
          <w:sz w:val="24"/>
        </w:rPr>
        <w:t>（4）对于需要录入或者维护的基础数据，比如物料、产品种类、人员等，系统应当提供批量导入、导出数据的方式，方便用户在系统外部加工数据。</w:t>
      </w:r>
    </w:p>
    <w:p>
      <w:pPr>
        <w:spacing w:line="360" w:lineRule="auto"/>
        <w:ind w:firstLine="480" w:firstLineChars="200"/>
        <w:rPr>
          <w:rFonts w:hint="eastAsia" w:ascii="宋体" w:hAnsi="宋体" w:cs="宋体"/>
          <w:sz w:val="24"/>
        </w:rPr>
      </w:pPr>
      <w:r>
        <w:rPr>
          <w:rFonts w:hint="eastAsia" w:ascii="宋体" w:hAnsi="宋体" w:cs="宋体"/>
          <w:sz w:val="24"/>
        </w:rPr>
        <w:t>（5)系统应当提供合理的配色方案，对于系统常见的主要信息、一般信息、报警信息、危险信息、成功状态信息、失败状态信息予以清晰的区别。</w:t>
      </w:r>
    </w:p>
    <w:p>
      <w:pPr>
        <w:pStyle w:val="30"/>
        <w:numPr>
          <w:ilvl w:val="0"/>
          <w:numId w:val="0"/>
        </w:numPr>
        <w:ind w:left="576" w:hanging="576"/>
      </w:pPr>
      <w:bookmarkStart w:id="120" w:name="_Toc26307"/>
      <w:bookmarkStart w:id="121" w:name="_Toc202442845"/>
      <w:r>
        <w:rPr>
          <w:rFonts w:hint="eastAsia"/>
        </w:rPr>
        <w:t>4.5安全性要求</w:t>
      </w:r>
      <w:bookmarkEnd w:id="120"/>
      <w:bookmarkEnd w:id="121"/>
    </w:p>
    <w:p>
      <w:pPr>
        <w:spacing w:line="360" w:lineRule="auto"/>
        <w:ind w:firstLine="480" w:firstLineChars="200"/>
        <w:rPr>
          <w:rFonts w:hint="eastAsia" w:ascii="宋体" w:hAnsi="宋体" w:cs="宋体"/>
          <w:sz w:val="24"/>
        </w:rPr>
      </w:pPr>
      <w:r>
        <w:rPr>
          <w:rFonts w:hint="eastAsia" w:ascii="宋体" w:hAnsi="宋体" w:cs="宋体"/>
          <w:sz w:val="24"/>
        </w:rPr>
        <w:t>（1）服务器安全</w:t>
      </w:r>
    </w:p>
    <w:p>
      <w:pPr>
        <w:spacing w:line="360" w:lineRule="auto"/>
        <w:ind w:firstLine="480" w:firstLineChars="200"/>
        <w:rPr>
          <w:rFonts w:hint="eastAsia" w:ascii="宋体" w:hAnsi="宋体" w:cs="宋体"/>
          <w:sz w:val="24"/>
        </w:rPr>
      </w:pPr>
      <w:r>
        <w:rPr>
          <w:rFonts w:hint="eastAsia" w:ascii="宋体" w:hAnsi="宋体" w:cs="宋体"/>
          <w:sz w:val="24"/>
        </w:rPr>
        <w:t>身份鉴别：服务器和数据库系统的身份标识须具有唯一性，对用户进行身份标识和鉴别。具备登录失败处理功能，在鉴别失败后结束会话、限制非法登录尝试次数、登录连接超时后自动退出。</w:t>
      </w:r>
    </w:p>
    <w:p>
      <w:pPr>
        <w:spacing w:line="360" w:lineRule="auto"/>
        <w:ind w:firstLine="480" w:firstLineChars="200"/>
        <w:rPr>
          <w:rFonts w:hint="eastAsia" w:ascii="宋体" w:hAnsi="宋体" w:cs="宋体"/>
          <w:sz w:val="24"/>
        </w:rPr>
      </w:pPr>
      <w:r>
        <w:rPr>
          <w:rFonts w:hint="eastAsia" w:ascii="宋体" w:hAnsi="宋体" w:cs="宋体"/>
          <w:sz w:val="24"/>
        </w:rPr>
        <w:t>访问控制：禁止默认用户的访问权限，重命名系统默认账户，并修改这些账户的默认口令。</w:t>
      </w:r>
    </w:p>
    <w:p>
      <w:pPr>
        <w:spacing w:line="360" w:lineRule="auto"/>
        <w:ind w:firstLine="480" w:firstLineChars="200"/>
        <w:rPr>
          <w:rFonts w:hint="eastAsia" w:ascii="宋体" w:hAnsi="宋体" w:cs="宋体"/>
          <w:sz w:val="24"/>
        </w:rPr>
      </w:pPr>
      <w:r>
        <w:rPr>
          <w:rFonts w:hint="eastAsia" w:ascii="宋体" w:hAnsi="宋体" w:cs="宋体"/>
          <w:sz w:val="24"/>
        </w:rPr>
        <w:t>资源控制：采用设定终端接入方式、网络地址范围等条件限制终端登录；对服务器的CPU、硬盘、内存、网络等资源的使用情况进行监控，降低到预设值时进行告警。</w:t>
      </w:r>
    </w:p>
    <w:p>
      <w:pPr>
        <w:spacing w:line="360" w:lineRule="auto"/>
        <w:ind w:firstLine="480" w:firstLineChars="200"/>
        <w:rPr>
          <w:rFonts w:hint="eastAsia" w:ascii="宋体" w:hAnsi="宋体" w:cs="宋体"/>
          <w:sz w:val="24"/>
        </w:rPr>
      </w:pPr>
      <w:r>
        <w:rPr>
          <w:rFonts w:hint="eastAsia" w:ascii="宋体" w:hAnsi="宋体" w:cs="宋体"/>
          <w:sz w:val="24"/>
        </w:rPr>
        <w:t>安全审计：对服务器上所有的用户行为进行安全审计，记录系统内重要的安全相关事件，包括重要用户行为、系统资源的异常使用和重要系统命令的使用。</w:t>
      </w:r>
    </w:p>
    <w:p>
      <w:pPr>
        <w:spacing w:line="360" w:lineRule="auto"/>
        <w:ind w:firstLine="480" w:firstLineChars="200"/>
        <w:rPr>
          <w:rFonts w:hint="eastAsia" w:ascii="宋体" w:hAnsi="宋体" w:cs="宋体"/>
          <w:sz w:val="24"/>
        </w:rPr>
      </w:pPr>
      <w:r>
        <w:rPr>
          <w:rFonts w:hint="eastAsia" w:ascii="宋体" w:hAnsi="宋体" w:cs="宋体"/>
          <w:sz w:val="24"/>
        </w:rPr>
        <w:t>（2）应用安全</w:t>
      </w:r>
    </w:p>
    <w:p>
      <w:pPr>
        <w:spacing w:line="360" w:lineRule="auto"/>
        <w:ind w:firstLine="480" w:firstLineChars="200"/>
        <w:rPr>
          <w:rFonts w:hint="eastAsia" w:ascii="宋体" w:hAnsi="宋体" w:cs="宋体"/>
          <w:sz w:val="24"/>
        </w:rPr>
      </w:pPr>
      <w:r>
        <w:rPr>
          <w:rFonts w:hint="eastAsia" w:ascii="宋体" w:hAnsi="宋体" w:cs="宋体"/>
          <w:sz w:val="24"/>
        </w:rPr>
        <w:t>身份鉴别：可与统一权限管理系统进行集成，实现统一身份认证、单点登录和统一授权。</w:t>
      </w:r>
    </w:p>
    <w:p>
      <w:pPr>
        <w:spacing w:line="360" w:lineRule="auto"/>
        <w:ind w:firstLine="480" w:firstLineChars="200"/>
        <w:rPr>
          <w:rFonts w:hint="eastAsia" w:ascii="宋体" w:hAnsi="宋体" w:cs="宋体"/>
          <w:sz w:val="24"/>
        </w:rPr>
      </w:pPr>
      <w:r>
        <w:rPr>
          <w:rFonts w:hint="eastAsia" w:ascii="宋体" w:hAnsi="宋体" w:cs="宋体"/>
          <w:sz w:val="24"/>
        </w:rPr>
        <w:t>软件容错：在输入时提供对输入数据的有效性检验。</w:t>
      </w:r>
    </w:p>
    <w:p>
      <w:pPr>
        <w:spacing w:line="360" w:lineRule="auto"/>
        <w:ind w:firstLine="480" w:firstLineChars="200"/>
        <w:rPr>
          <w:rFonts w:hint="eastAsia" w:ascii="宋体" w:hAnsi="宋体" w:cs="宋体"/>
          <w:sz w:val="24"/>
        </w:rPr>
      </w:pPr>
      <w:r>
        <w:rPr>
          <w:rFonts w:hint="eastAsia" w:ascii="宋体" w:hAnsi="宋体" w:cs="宋体"/>
          <w:sz w:val="24"/>
        </w:rPr>
        <w:t>安全审计：对用户的登录、重要用户行为和重要系统功能的执行等进行日志审计。</w:t>
      </w:r>
    </w:p>
    <w:p>
      <w:pPr>
        <w:spacing w:line="360" w:lineRule="auto"/>
        <w:ind w:firstLine="480" w:firstLineChars="200"/>
        <w:rPr>
          <w:rFonts w:hint="eastAsia" w:ascii="宋体" w:hAnsi="宋体" w:cs="宋体"/>
          <w:sz w:val="24"/>
        </w:rPr>
      </w:pPr>
      <w:r>
        <w:rPr>
          <w:rFonts w:hint="eastAsia" w:ascii="宋体" w:hAnsi="宋体" w:cs="宋体"/>
          <w:sz w:val="24"/>
        </w:rPr>
        <w:t>（3）数据安全</w:t>
      </w:r>
    </w:p>
    <w:p>
      <w:pPr>
        <w:spacing w:line="360" w:lineRule="auto"/>
        <w:ind w:firstLine="480" w:firstLineChars="200"/>
        <w:rPr>
          <w:rFonts w:hint="eastAsia" w:ascii="宋体" w:hAnsi="宋体" w:cs="宋体"/>
          <w:sz w:val="24"/>
        </w:rPr>
      </w:pPr>
      <w:r>
        <w:rPr>
          <w:rFonts w:hint="eastAsia" w:ascii="宋体" w:hAnsi="宋体" w:cs="宋体"/>
          <w:sz w:val="24"/>
        </w:rPr>
        <w:t>数据完整性：在数据的传输、存储、处理过程中，使用事务传输机制对数据完整性进行保证。</w:t>
      </w:r>
    </w:p>
    <w:p>
      <w:pPr>
        <w:spacing w:line="360" w:lineRule="auto"/>
        <w:ind w:firstLine="480" w:firstLineChars="200"/>
        <w:rPr>
          <w:rFonts w:hint="eastAsia" w:ascii="宋体" w:hAnsi="宋体" w:cs="宋体"/>
          <w:sz w:val="24"/>
        </w:rPr>
      </w:pPr>
      <w:r>
        <w:rPr>
          <w:rFonts w:hint="eastAsia" w:ascii="宋体" w:hAnsi="宋体" w:cs="宋体"/>
          <w:sz w:val="24"/>
        </w:rPr>
        <w:t>数据保密性：身份鉴别信息、敏感管理数据和敏感业务数据在传输、存储、处理过程中，应进行加密或使用专用的协议或安全通信协议。</w:t>
      </w:r>
    </w:p>
    <w:p>
      <w:pPr>
        <w:spacing w:line="360" w:lineRule="auto"/>
        <w:ind w:firstLine="480" w:firstLineChars="200"/>
        <w:rPr>
          <w:rFonts w:hint="eastAsia" w:ascii="宋体" w:hAnsi="宋体" w:cs="宋体"/>
          <w:sz w:val="24"/>
        </w:rPr>
      </w:pPr>
      <w:r>
        <w:rPr>
          <w:rFonts w:hint="eastAsia" w:ascii="宋体" w:hAnsi="宋体" w:cs="宋体"/>
          <w:sz w:val="24"/>
        </w:rPr>
        <w:t>备份与恢复：建立数据备份机制，支持在系统数据出现异常时进行数据恢复。</w:t>
      </w:r>
    </w:p>
    <w:p>
      <w:pPr>
        <w:pStyle w:val="30"/>
        <w:numPr>
          <w:ilvl w:val="0"/>
          <w:numId w:val="0"/>
        </w:numPr>
      </w:pPr>
      <w:bookmarkStart w:id="122" w:name="_Toc1669"/>
      <w:bookmarkStart w:id="123" w:name="_Toc202442846"/>
      <w:r>
        <w:rPr>
          <w:rFonts w:hint="eastAsia"/>
        </w:rPr>
        <w:t>4.6技术架构要求</w:t>
      </w:r>
      <w:bookmarkEnd w:id="122"/>
      <w:bookmarkEnd w:id="123"/>
    </w:p>
    <w:p>
      <w:pPr>
        <w:pStyle w:val="27"/>
      </w:pPr>
      <w:r>
        <w:rPr>
          <w:rFonts w:hint="eastAsia"/>
        </w:rPr>
        <w:t>●系统须使用主流开发语言Java和Spring Cloud技术框架;</w:t>
      </w:r>
    </w:p>
    <w:p>
      <w:pPr>
        <w:pStyle w:val="27"/>
      </w:pPr>
      <w:r>
        <w:rPr>
          <w:rFonts w:hint="eastAsia"/>
        </w:rPr>
        <w:t>●系统须为B/S架构;</w:t>
      </w:r>
    </w:p>
    <w:p>
      <w:pPr>
        <w:pStyle w:val="27"/>
      </w:pPr>
      <w:r>
        <w:rPr>
          <w:rFonts w:hint="eastAsia"/>
        </w:rPr>
        <w:t>●系统架构设计须基于微服务框架，并采用容器化部署;</w:t>
      </w:r>
    </w:p>
    <w:p>
      <w:pPr>
        <w:pStyle w:val="27"/>
      </w:pPr>
      <w:r>
        <w:rPr>
          <w:rFonts w:hint="eastAsia"/>
        </w:rPr>
        <w:t>●系统关系数据库须采用MySQL、MongoDB、Minio等数据库。</w:t>
      </w:r>
    </w:p>
    <w:p>
      <w:pPr>
        <w:pStyle w:val="3"/>
        <w:rPr>
          <w:rFonts w:hint="eastAsia"/>
        </w:rPr>
      </w:pPr>
      <w:bookmarkStart w:id="124" w:name="_Toc14648"/>
      <w:bookmarkStart w:id="125" w:name="_Toc32207"/>
      <w:bookmarkStart w:id="126" w:name="_Toc202442847"/>
      <w:r>
        <w:rPr>
          <w:rFonts w:hint="eastAsia"/>
        </w:rPr>
        <w:t>五 项目时间计划</w:t>
      </w:r>
      <w:bookmarkEnd w:id="124"/>
      <w:bookmarkEnd w:id="125"/>
      <w:bookmarkEnd w:id="126"/>
    </w:p>
    <w:p>
      <w:pPr>
        <w:pStyle w:val="30"/>
        <w:numPr>
          <w:ilvl w:val="0"/>
          <w:numId w:val="0"/>
        </w:numPr>
      </w:pPr>
      <w:bookmarkStart w:id="127" w:name="_Toc202442848"/>
      <w:bookmarkStart w:id="128" w:name="_Toc29558"/>
      <w:bookmarkStart w:id="129" w:name="_Toc23892"/>
      <w:r>
        <w:rPr>
          <w:rFonts w:hint="eastAsia"/>
        </w:rPr>
        <w:t>5.1数据推送实施计划</w:t>
      </w:r>
      <w:bookmarkEnd w:id="127"/>
      <w:bookmarkEnd w:id="128"/>
      <w:bookmarkEnd w:id="129"/>
    </w:p>
    <w:p>
      <w:pPr>
        <w:spacing w:line="360" w:lineRule="auto"/>
        <w:ind w:firstLine="480" w:firstLineChars="200"/>
        <w:rPr>
          <w:rFonts w:hint="eastAsia" w:ascii="宋体" w:hAnsi="宋体"/>
          <w:sz w:val="24"/>
          <w:szCs w:val="21"/>
        </w:rPr>
      </w:pPr>
      <w:r>
        <w:rPr>
          <w:rFonts w:hint="eastAsia" w:ascii="宋体" w:hAnsi="宋体"/>
          <w:sz w:val="24"/>
          <w:szCs w:val="21"/>
        </w:rPr>
        <w:t>项目启动时间预计2</w:t>
      </w:r>
      <w:r>
        <w:rPr>
          <w:rFonts w:ascii="宋体" w:hAnsi="宋体"/>
          <w:sz w:val="24"/>
          <w:szCs w:val="21"/>
        </w:rPr>
        <w:t>02</w:t>
      </w:r>
      <w:r>
        <w:rPr>
          <w:rFonts w:hint="eastAsia" w:ascii="宋体" w:hAnsi="宋体"/>
          <w:sz w:val="24"/>
          <w:szCs w:val="21"/>
        </w:rPr>
        <w:t>5</w:t>
      </w:r>
      <w:r>
        <w:rPr>
          <w:rFonts w:ascii="宋体" w:hAnsi="宋体"/>
          <w:sz w:val="24"/>
          <w:szCs w:val="21"/>
        </w:rPr>
        <w:t>年</w:t>
      </w:r>
      <w:r>
        <w:rPr>
          <w:rFonts w:hint="eastAsia" w:ascii="宋体" w:hAnsi="宋体"/>
          <w:sz w:val="24"/>
          <w:szCs w:val="21"/>
        </w:rPr>
        <w:t>5月1</w:t>
      </w:r>
      <w:r>
        <w:rPr>
          <w:rFonts w:ascii="宋体" w:hAnsi="宋体"/>
          <w:sz w:val="24"/>
          <w:szCs w:val="21"/>
        </w:rPr>
        <w:t>日</w:t>
      </w:r>
      <w:r>
        <w:rPr>
          <w:rFonts w:hint="eastAsia" w:ascii="宋体" w:hAnsi="宋体"/>
          <w:sz w:val="24"/>
          <w:szCs w:val="21"/>
        </w:rPr>
        <w:t>启动实施，2</w:t>
      </w:r>
      <w:r>
        <w:rPr>
          <w:rFonts w:ascii="宋体" w:hAnsi="宋体"/>
          <w:sz w:val="24"/>
          <w:szCs w:val="21"/>
        </w:rPr>
        <w:t>02</w:t>
      </w:r>
      <w:r>
        <w:rPr>
          <w:rFonts w:hint="eastAsia" w:ascii="宋体" w:hAnsi="宋体"/>
          <w:sz w:val="24"/>
          <w:szCs w:val="21"/>
        </w:rPr>
        <w:t>5</w:t>
      </w:r>
      <w:r>
        <w:rPr>
          <w:rFonts w:ascii="宋体" w:hAnsi="宋体"/>
          <w:sz w:val="24"/>
          <w:szCs w:val="21"/>
        </w:rPr>
        <w:t>年</w:t>
      </w:r>
      <w:r>
        <w:rPr>
          <w:rFonts w:hint="eastAsia" w:ascii="宋体" w:hAnsi="宋体"/>
          <w:sz w:val="24"/>
          <w:szCs w:val="21"/>
        </w:rPr>
        <w:t>9月30</w:t>
      </w:r>
      <w:r>
        <w:rPr>
          <w:rFonts w:ascii="宋体" w:hAnsi="宋体"/>
          <w:sz w:val="24"/>
          <w:szCs w:val="21"/>
        </w:rPr>
        <w:t>日</w:t>
      </w:r>
      <w:r>
        <w:rPr>
          <w:rFonts w:hint="eastAsia" w:ascii="宋体" w:hAnsi="宋体"/>
          <w:sz w:val="24"/>
          <w:szCs w:val="21"/>
        </w:rPr>
        <w:t>终版上线使用，具体实施时间以项目正式启动时间和需求细化调研之后的项目计划为准。</w:t>
      </w:r>
    </w:p>
    <w:p>
      <w:pPr>
        <w:spacing w:line="360" w:lineRule="auto"/>
        <w:rPr>
          <w:rFonts w:hint="eastAsia" w:ascii="宋体" w:hAnsi="宋体"/>
          <w:sz w:val="24"/>
          <w:szCs w:val="21"/>
        </w:rPr>
      </w:pPr>
    </w:p>
    <w:p>
      <w:pPr>
        <w:pStyle w:val="27"/>
      </w:pPr>
    </w:p>
    <w:p>
      <w:pPr>
        <w:pStyle w:val="3"/>
        <w:rPr>
          <w:rFonts w:hint="eastAsia"/>
        </w:rPr>
      </w:pPr>
      <w:bookmarkStart w:id="130" w:name="_Toc202442849"/>
      <w:bookmarkStart w:id="131" w:name="_Toc8798"/>
      <w:r>
        <w:rPr>
          <w:rFonts w:hint="eastAsia"/>
        </w:rPr>
        <w:t>六 项目总体要求</w:t>
      </w:r>
      <w:bookmarkEnd w:id="130"/>
      <w:bookmarkEnd w:id="131"/>
      <w:bookmarkStart w:id="132" w:name="_Toc85282384"/>
      <w:bookmarkEnd w:id="132"/>
    </w:p>
    <w:p>
      <w:pPr>
        <w:pStyle w:val="30"/>
        <w:numPr>
          <w:ilvl w:val="0"/>
          <w:numId w:val="0"/>
        </w:numPr>
      </w:pPr>
      <w:bookmarkStart w:id="133" w:name="_Toc31572"/>
      <w:bookmarkStart w:id="134" w:name="_Toc202442850"/>
      <w:bookmarkStart w:id="135" w:name="_Toc16060"/>
      <w:bookmarkStart w:id="136" w:name="_Toc90641880"/>
      <w:r>
        <w:rPr>
          <w:rFonts w:hint="eastAsia"/>
        </w:rPr>
        <w:t>6.1 一般性要求</w:t>
      </w:r>
      <w:bookmarkEnd w:id="133"/>
      <w:bookmarkEnd w:id="134"/>
      <w:bookmarkEnd w:id="135"/>
      <w:bookmarkEnd w:id="136"/>
    </w:p>
    <w:p>
      <w:pPr>
        <w:spacing w:line="360" w:lineRule="auto"/>
        <w:ind w:firstLine="420"/>
        <w:rPr>
          <w:rFonts w:hint="eastAsia" w:ascii="宋体" w:hAnsi="宋体"/>
          <w:sz w:val="24"/>
        </w:rPr>
      </w:pPr>
      <w:r>
        <w:rPr>
          <w:rFonts w:hint="eastAsia" w:ascii="宋体" w:hAnsi="宋体"/>
          <w:sz w:val="24"/>
        </w:rPr>
        <w:t>（</w:t>
      </w:r>
      <w:r>
        <w:rPr>
          <w:rFonts w:ascii="宋体" w:hAnsi="宋体"/>
          <w:sz w:val="24"/>
        </w:rPr>
        <w:t>1</w:t>
      </w:r>
      <w:r>
        <w:rPr>
          <w:rFonts w:hint="eastAsia" w:ascii="宋体" w:hAnsi="宋体"/>
          <w:sz w:val="24"/>
        </w:rPr>
        <w:t>）技术要求书提出了基本的技术要求，并不一定对所有技术细节做出规定，未提及的要求，供应商应保证提供符合或优于技术规格书和有关工业标准的优质产品，并要求在满足或优于基本的技术要求的情况下，对本项目的技术细节做出说明。</w:t>
      </w:r>
    </w:p>
    <w:p>
      <w:pPr>
        <w:spacing w:line="360" w:lineRule="auto"/>
        <w:ind w:firstLine="420"/>
        <w:rPr>
          <w:rFonts w:hint="eastAsia" w:ascii="宋体" w:hAnsi="宋体"/>
          <w:sz w:val="24"/>
        </w:rPr>
      </w:pPr>
      <w:r>
        <w:rPr>
          <w:rFonts w:hint="eastAsia" w:ascii="宋体" w:hAnsi="宋体"/>
          <w:sz w:val="24"/>
        </w:rPr>
        <w:t>（2）本技术规格书所使用的标准和规范如与中标方所执行的标准发生矛盾时(或同一条款有多个标准时)，按较高标准执行。</w:t>
      </w:r>
    </w:p>
    <w:p>
      <w:pPr>
        <w:spacing w:line="360" w:lineRule="auto"/>
        <w:ind w:firstLine="420"/>
        <w:rPr>
          <w:rFonts w:hint="eastAsia" w:ascii="宋体" w:hAnsi="宋体"/>
          <w:sz w:val="24"/>
        </w:rPr>
      </w:pPr>
      <w:r>
        <w:rPr>
          <w:rFonts w:hint="eastAsia" w:ascii="宋体" w:hAnsi="宋体"/>
          <w:sz w:val="24"/>
        </w:rPr>
        <w:t>（3）乙方所提供的所有技术文件的内容和产品资料、设计</w:t>
      </w:r>
      <w:r>
        <w:rPr>
          <w:rFonts w:ascii="宋体" w:hAnsi="宋体"/>
          <w:sz w:val="24"/>
        </w:rPr>
        <w:t>规范</w:t>
      </w:r>
      <w:r>
        <w:rPr>
          <w:rFonts w:hint="eastAsia" w:ascii="宋体" w:hAnsi="宋体"/>
          <w:sz w:val="24"/>
        </w:rPr>
        <w:t>、试验检查依据等，除非在技术规格中另作规定外，均应使用相应的国际标准化组织标准/或其它先进国标、行业标准。这些标准应为合同签字日为止最新公布发行的标准。</w:t>
      </w:r>
    </w:p>
    <w:p>
      <w:pPr>
        <w:pStyle w:val="30"/>
        <w:numPr>
          <w:ilvl w:val="0"/>
          <w:numId w:val="0"/>
        </w:numPr>
      </w:pPr>
      <w:bookmarkStart w:id="137" w:name="_Toc85270876"/>
      <w:bookmarkStart w:id="138" w:name="_Toc85282387"/>
      <w:bookmarkStart w:id="139" w:name="_Toc85270775"/>
      <w:bookmarkStart w:id="140" w:name="_Toc90641881"/>
      <w:bookmarkStart w:id="141" w:name="_Toc9298"/>
      <w:bookmarkStart w:id="142" w:name="_Toc23003"/>
      <w:bookmarkStart w:id="143" w:name="_Toc202442851"/>
      <w:r>
        <w:rPr>
          <w:rFonts w:hint="eastAsia"/>
        </w:rPr>
        <w:t>6.2项目团队要求</w:t>
      </w:r>
      <w:bookmarkEnd w:id="137"/>
      <w:bookmarkEnd w:id="138"/>
      <w:bookmarkEnd w:id="139"/>
      <w:bookmarkEnd w:id="140"/>
      <w:bookmarkEnd w:id="141"/>
      <w:bookmarkEnd w:id="142"/>
      <w:bookmarkEnd w:id="143"/>
    </w:p>
    <w:p>
      <w:pPr>
        <w:tabs>
          <w:tab w:val="left" w:pos="735"/>
        </w:tabs>
        <w:snapToGrid w:val="0"/>
        <w:spacing w:before="156" w:beforeLines="50" w:line="360" w:lineRule="auto"/>
        <w:ind w:firstLine="480" w:firstLineChars="200"/>
        <w:rPr>
          <w:rFonts w:hint="eastAsia" w:ascii="宋体" w:hAnsi="宋体"/>
          <w:sz w:val="24"/>
        </w:rPr>
      </w:pPr>
      <w:r>
        <w:rPr>
          <w:rFonts w:hint="eastAsia" w:ascii="宋体" w:hAnsi="宋体"/>
          <w:sz w:val="24"/>
        </w:rPr>
        <w:t>供应商项目经理及技术开发、调试人员，必须经历有4年及以上的软件实施工作经历，和设备互联互通、数据采集项目经验；能依据对智能制造行业或远东项目的理解，提供合理科学、切实可行的项目方案及实施建议；</w:t>
      </w:r>
    </w:p>
    <w:p>
      <w:pPr>
        <w:numPr>
          <w:ilvl w:val="0"/>
          <w:numId w:val="5"/>
        </w:numPr>
        <w:tabs>
          <w:tab w:val="left" w:pos="735"/>
        </w:tabs>
        <w:snapToGrid w:val="0"/>
        <w:spacing w:before="156" w:beforeLines="50" w:line="360" w:lineRule="auto"/>
        <w:ind w:left="567" w:firstLine="0"/>
        <w:rPr>
          <w:rFonts w:hint="eastAsia" w:ascii="宋体" w:hAnsi="宋体"/>
          <w:sz w:val="24"/>
        </w:rPr>
      </w:pPr>
      <w:r>
        <w:rPr>
          <w:rFonts w:hint="eastAsia" w:ascii="宋体" w:hAnsi="宋体"/>
          <w:sz w:val="24"/>
        </w:rPr>
        <w:t xml:space="preserve">项目实施期间，供应商项目经理及骨干成员须全职投入，保证项目的质量、进度，对风险进行控制； </w:t>
      </w:r>
    </w:p>
    <w:p>
      <w:pPr>
        <w:numPr>
          <w:ilvl w:val="0"/>
          <w:numId w:val="5"/>
        </w:numPr>
        <w:tabs>
          <w:tab w:val="left" w:pos="735"/>
        </w:tabs>
        <w:snapToGrid w:val="0"/>
        <w:spacing w:before="156" w:beforeLines="50" w:line="360" w:lineRule="auto"/>
        <w:ind w:left="567" w:firstLine="0"/>
        <w:rPr>
          <w:rFonts w:hint="eastAsia" w:ascii="宋体" w:hAnsi="宋体"/>
          <w:sz w:val="24"/>
        </w:rPr>
      </w:pPr>
      <w:r>
        <w:rPr>
          <w:rFonts w:hint="eastAsia" w:ascii="宋体" w:hAnsi="宋体"/>
          <w:sz w:val="24"/>
        </w:rPr>
        <w:t>供应商需在项目招标前提供派驻远东现场人员的项目组织结构。当实施服务人员工作达不到远东要求时，远东有权利通过书面方式要求供应商更换；</w:t>
      </w:r>
    </w:p>
    <w:p>
      <w:pPr>
        <w:numPr>
          <w:ilvl w:val="0"/>
          <w:numId w:val="5"/>
        </w:numPr>
        <w:tabs>
          <w:tab w:val="left" w:pos="735"/>
        </w:tabs>
        <w:snapToGrid w:val="0"/>
        <w:spacing w:before="156" w:beforeLines="50" w:line="360" w:lineRule="auto"/>
        <w:ind w:left="567" w:firstLine="0"/>
        <w:rPr>
          <w:rFonts w:hint="eastAsia" w:ascii="宋体" w:hAnsi="宋体"/>
          <w:sz w:val="24"/>
        </w:rPr>
      </w:pPr>
      <w:r>
        <w:rPr>
          <w:rFonts w:hint="eastAsia" w:ascii="宋体" w:hAnsi="宋体"/>
          <w:sz w:val="24"/>
        </w:rPr>
        <w:t>供应商在项目实施期间原则上不允许更换项目经理和骨干成员；如确需更换，须提前1</w:t>
      </w:r>
      <w:r>
        <w:rPr>
          <w:rFonts w:ascii="宋体" w:hAnsi="宋体"/>
          <w:sz w:val="24"/>
        </w:rPr>
        <w:t>0个工作日</w:t>
      </w:r>
      <w:r>
        <w:rPr>
          <w:rFonts w:hint="eastAsia" w:ascii="宋体" w:hAnsi="宋体"/>
          <w:sz w:val="24"/>
        </w:rPr>
        <w:t>以书面形式通知远东，双方将本着对项目负责的原则，在进行充分协商并取得远东同意后一周内完成人员的调整，且更换的人员必须与被更换人员具有相同或更强的项目经验及能力，且供应商不得以实施人员更换此为由影响项目进度；</w:t>
      </w:r>
    </w:p>
    <w:p>
      <w:pPr>
        <w:numPr>
          <w:ilvl w:val="0"/>
          <w:numId w:val="5"/>
        </w:numPr>
        <w:tabs>
          <w:tab w:val="left" w:pos="735"/>
        </w:tabs>
        <w:snapToGrid w:val="0"/>
        <w:spacing w:before="156" w:beforeLines="50" w:line="360" w:lineRule="auto"/>
        <w:ind w:left="567" w:firstLine="0"/>
        <w:rPr>
          <w:rFonts w:hint="eastAsia" w:ascii="宋体" w:hAnsi="宋体"/>
          <w:sz w:val="24"/>
        </w:rPr>
      </w:pPr>
      <w:r>
        <w:rPr>
          <w:rFonts w:hint="eastAsia" w:ascii="宋体" w:hAnsi="宋体"/>
          <w:sz w:val="24"/>
        </w:rPr>
        <w:t>供应商的项目组人员须遵照远东现场管理制度；若供应商项目组人员需要休假须经远东项目经理同意；</w:t>
      </w:r>
    </w:p>
    <w:p>
      <w:pPr>
        <w:numPr>
          <w:ilvl w:val="0"/>
          <w:numId w:val="5"/>
        </w:numPr>
        <w:tabs>
          <w:tab w:val="left" w:pos="735"/>
        </w:tabs>
        <w:snapToGrid w:val="0"/>
        <w:spacing w:before="156" w:beforeLines="50" w:line="360" w:lineRule="auto"/>
        <w:ind w:left="567" w:firstLine="0"/>
        <w:rPr>
          <w:rFonts w:hint="eastAsia" w:ascii="宋体" w:hAnsi="宋体"/>
          <w:sz w:val="24"/>
        </w:rPr>
      </w:pPr>
      <w:r>
        <w:rPr>
          <w:rFonts w:hint="eastAsia" w:ascii="宋体" w:hAnsi="宋体"/>
          <w:sz w:val="24"/>
        </w:rPr>
        <w:t>为确保本项目计划的正常执行，供应商将按要求，协调相应资源保质保量地投入到本项目，并及时正确地完成所分配的任务，未经远东同意，中标人不得更换任何项目成员，供应商成员若表现不佳，远东有权要求更换，并且供应商不得以更换为由，降低交付质量或延期交付；</w:t>
      </w:r>
    </w:p>
    <w:p>
      <w:pPr>
        <w:numPr>
          <w:ilvl w:val="0"/>
          <w:numId w:val="5"/>
        </w:numPr>
        <w:tabs>
          <w:tab w:val="left" w:pos="735"/>
        </w:tabs>
        <w:snapToGrid w:val="0"/>
        <w:spacing w:before="156" w:beforeLines="50" w:line="360" w:lineRule="auto"/>
        <w:ind w:left="567" w:firstLine="0"/>
        <w:rPr>
          <w:rFonts w:hint="eastAsia" w:ascii="宋体" w:hAnsi="宋体"/>
          <w:bCs/>
          <w:sz w:val="24"/>
        </w:rPr>
      </w:pPr>
      <w:r>
        <w:rPr>
          <w:rFonts w:hint="eastAsia" w:ascii="宋体" w:hAnsi="宋体"/>
          <w:bCs/>
          <w:sz w:val="24"/>
        </w:rPr>
        <w:t>由于供应商原因导致的项目延误或可能延误，供应商应在保证项目质量的前提下，免费投入额外的合格资源，确保项目工期。</w:t>
      </w:r>
    </w:p>
    <w:p>
      <w:pPr>
        <w:pStyle w:val="30"/>
        <w:numPr>
          <w:ilvl w:val="0"/>
          <w:numId w:val="0"/>
        </w:numPr>
      </w:pPr>
      <w:bookmarkStart w:id="144" w:name="_Toc85270877"/>
      <w:bookmarkStart w:id="145" w:name="_Toc85282388"/>
      <w:bookmarkStart w:id="146" w:name="_Toc90641882"/>
      <w:bookmarkStart w:id="147" w:name="_Toc25002"/>
      <w:bookmarkStart w:id="148" w:name="_Toc7457"/>
      <w:bookmarkStart w:id="149" w:name="_Toc202442852"/>
      <w:r>
        <w:rPr>
          <w:rFonts w:hint="eastAsia"/>
        </w:rPr>
        <w:t>6.3项目进度及版权要求</w:t>
      </w:r>
      <w:bookmarkEnd w:id="144"/>
      <w:bookmarkEnd w:id="145"/>
      <w:bookmarkEnd w:id="146"/>
      <w:bookmarkEnd w:id="147"/>
      <w:bookmarkEnd w:id="148"/>
      <w:bookmarkEnd w:id="149"/>
    </w:p>
    <w:p>
      <w:pPr>
        <w:numPr>
          <w:ilvl w:val="0"/>
          <w:numId w:val="6"/>
        </w:numPr>
        <w:tabs>
          <w:tab w:val="left" w:pos="735"/>
        </w:tabs>
        <w:snapToGrid w:val="0"/>
        <w:spacing w:before="156" w:beforeLines="50" w:line="360" w:lineRule="auto"/>
        <w:ind w:left="567" w:firstLine="0"/>
        <w:jc w:val="left"/>
        <w:rPr>
          <w:rFonts w:hint="eastAsia" w:ascii="宋体" w:hAnsi="宋体"/>
          <w:bCs/>
          <w:sz w:val="24"/>
        </w:rPr>
      </w:pPr>
      <w:bookmarkStart w:id="150" w:name="_Hlk98171541"/>
      <w:r>
        <w:rPr>
          <w:rFonts w:hint="eastAsia" w:ascii="宋体" w:hAnsi="宋体"/>
          <w:bCs/>
          <w:sz w:val="24"/>
        </w:rPr>
        <w:t>项目进度总体要求在</w:t>
      </w:r>
      <w:r>
        <w:rPr>
          <w:rFonts w:hint="eastAsia" w:ascii="宋体" w:hAnsi="宋体"/>
          <w:bCs/>
          <w:color w:val="000000"/>
          <w:sz w:val="24"/>
          <w:u w:val="single"/>
        </w:rPr>
        <w:t>2025年8月12日</w:t>
      </w:r>
      <w:r>
        <w:rPr>
          <w:rFonts w:hint="eastAsia" w:ascii="宋体" w:hAnsi="宋体"/>
          <w:bCs/>
          <w:sz w:val="24"/>
          <w:u w:val="single"/>
        </w:rPr>
        <w:t>前</w:t>
      </w:r>
      <w:r>
        <w:rPr>
          <w:rFonts w:hint="eastAsia" w:ascii="宋体" w:hAnsi="宋体"/>
          <w:bCs/>
          <w:sz w:val="24"/>
        </w:rPr>
        <w:t>完成项目的软硬件安装、配置，调试，数据校对及终版上线使用，后续</w:t>
      </w:r>
      <w:r>
        <w:rPr>
          <w:rFonts w:ascii="宋体" w:hAnsi="宋体"/>
          <w:bCs/>
          <w:sz w:val="24"/>
        </w:rPr>
        <w:t>协助</w:t>
      </w:r>
      <w:r>
        <w:rPr>
          <w:rFonts w:hint="eastAsia" w:ascii="宋体" w:hAnsi="宋体"/>
          <w:bCs/>
          <w:sz w:val="24"/>
        </w:rPr>
        <w:t>远东</w:t>
      </w:r>
      <w:r>
        <w:rPr>
          <w:rFonts w:ascii="宋体" w:hAnsi="宋体"/>
          <w:bCs/>
          <w:sz w:val="24"/>
        </w:rPr>
        <w:t>工业互联平台进行数据</w:t>
      </w:r>
      <w:r>
        <w:rPr>
          <w:rFonts w:hint="eastAsia" w:ascii="宋体" w:hAnsi="宋体"/>
          <w:bCs/>
          <w:sz w:val="24"/>
        </w:rPr>
        <w:t>对接等，由于非供应商责任造成项目进度延期的，则项目进度终完成时间顺延；</w:t>
      </w:r>
    </w:p>
    <w:bookmarkEnd w:id="150"/>
    <w:p>
      <w:pPr>
        <w:numPr>
          <w:ilvl w:val="0"/>
          <w:numId w:val="6"/>
        </w:numPr>
        <w:tabs>
          <w:tab w:val="left" w:pos="735"/>
        </w:tabs>
        <w:snapToGrid w:val="0"/>
        <w:spacing w:before="156" w:beforeLines="50" w:line="360" w:lineRule="auto"/>
        <w:ind w:left="567" w:firstLine="0"/>
        <w:rPr>
          <w:rFonts w:hint="eastAsia" w:ascii="宋体" w:hAnsi="宋体"/>
          <w:bCs/>
          <w:sz w:val="24"/>
        </w:rPr>
      </w:pPr>
      <w:r>
        <w:rPr>
          <w:rFonts w:hint="eastAsia" w:ascii="宋体" w:hAnsi="宋体"/>
          <w:bCs/>
          <w:sz w:val="24"/>
        </w:rPr>
        <w:t>本项目所有交付文档及客制化功能等都属于“客户作品”，版权归远东所有，包含但不限于：需求分析、功能设计、详细设计、程序代码、H</w:t>
      </w:r>
      <w:r>
        <w:rPr>
          <w:rFonts w:ascii="宋体" w:hAnsi="宋体"/>
          <w:bCs/>
          <w:sz w:val="24"/>
        </w:rPr>
        <w:t>MI界面</w:t>
      </w:r>
      <w:r>
        <w:rPr>
          <w:rFonts w:hint="eastAsia" w:ascii="宋体" w:hAnsi="宋体"/>
          <w:bCs/>
          <w:sz w:val="24"/>
        </w:rPr>
        <w:t>等，未经远东书面签字授权，不得提供给第三方，若违反远东版权、保密条款或相关要求，应向远东支付不低于本项目合同总额3倍违约金，违约金不足以弥补远东所有损失的，乙方应予以补足；</w:t>
      </w:r>
    </w:p>
    <w:p>
      <w:pPr>
        <w:numPr>
          <w:ilvl w:val="0"/>
          <w:numId w:val="6"/>
        </w:numPr>
        <w:tabs>
          <w:tab w:val="left" w:pos="735"/>
        </w:tabs>
        <w:snapToGrid w:val="0"/>
        <w:spacing w:before="156" w:beforeLines="50" w:line="360" w:lineRule="auto"/>
        <w:ind w:left="567" w:firstLine="0"/>
        <w:rPr>
          <w:rFonts w:hint="eastAsia" w:ascii="宋体" w:hAnsi="宋体"/>
          <w:bCs/>
          <w:sz w:val="24"/>
        </w:rPr>
      </w:pPr>
      <w:r>
        <w:rPr>
          <w:rFonts w:hint="eastAsia" w:ascii="宋体" w:hAnsi="宋体"/>
          <w:bCs/>
          <w:sz w:val="24"/>
        </w:rPr>
        <w:t>供应商负责项目管理、提供项目管理方法、工具、项目质量标准、质量管理方法和工具，并对所有交付物的质量负责。</w:t>
      </w:r>
    </w:p>
    <w:p>
      <w:pPr>
        <w:pStyle w:val="30"/>
        <w:numPr>
          <w:ilvl w:val="0"/>
          <w:numId w:val="0"/>
        </w:numPr>
      </w:pPr>
      <w:bookmarkStart w:id="151" w:name="_Toc85270878"/>
      <w:bookmarkStart w:id="152" w:name="_Toc17602"/>
      <w:bookmarkStart w:id="153" w:name="_Toc85282389"/>
      <w:bookmarkStart w:id="154" w:name="_Toc90641883"/>
      <w:bookmarkStart w:id="155" w:name="_Toc9257"/>
      <w:bookmarkStart w:id="156" w:name="_Toc202442853"/>
      <w:r>
        <w:rPr>
          <w:rFonts w:hint="eastAsia"/>
        </w:rPr>
        <w:t>6.4 项目交付物</w:t>
      </w:r>
      <w:bookmarkEnd w:id="151"/>
      <w:bookmarkEnd w:id="152"/>
      <w:bookmarkEnd w:id="153"/>
      <w:bookmarkEnd w:id="154"/>
      <w:bookmarkEnd w:id="155"/>
      <w:bookmarkEnd w:id="156"/>
    </w:p>
    <w:p>
      <w:pPr>
        <w:pStyle w:val="46"/>
        <w:autoSpaceDE w:val="0"/>
        <w:autoSpaceDN w:val="0"/>
        <w:adjustRightInd w:val="0"/>
        <w:snapToGrid w:val="0"/>
        <w:spacing w:line="360" w:lineRule="auto"/>
        <w:ind w:firstLine="480"/>
        <w:jc w:val="left"/>
        <w:rPr>
          <w:rFonts w:hint="eastAsia" w:ascii="宋体" w:hAnsi="宋体" w:cs="微软雅黑"/>
          <w:kern w:val="0"/>
          <w:sz w:val="24"/>
        </w:rPr>
      </w:pPr>
      <w:r>
        <w:rPr>
          <w:rFonts w:hint="eastAsia" w:ascii="宋体" w:hAnsi="宋体" w:cs="微软雅黑"/>
          <w:kern w:val="0"/>
          <w:sz w:val="24"/>
        </w:rPr>
        <w:t xml:space="preserve">当供应商完成每个阶段的工作，提交该阶段相应的交付文档，得到招标方的接收，此阶段将视为完成。 </w:t>
      </w:r>
    </w:p>
    <w:p>
      <w:pPr>
        <w:pStyle w:val="46"/>
        <w:autoSpaceDE w:val="0"/>
        <w:autoSpaceDN w:val="0"/>
        <w:adjustRightInd w:val="0"/>
        <w:snapToGrid w:val="0"/>
        <w:spacing w:line="360" w:lineRule="auto"/>
        <w:ind w:firstLine="480"/>
        <w:jc w:val="left"/>
        <w:rPr>
          <w:rFonts w:hint="eastAsia" w:ascii="宋体" w:hAnsi="宋体" w:cs="微软雅黑"/>
          <w:kern w:val="0"/>
          <w:sz w:val="24"/>
        </w:rPr>
      </w:pPr>
      <w:r>
        <w:rPr>
          <w:rFonts w:hint="eastAsia" w:ascii="宋体" w:hAnsi="宋体" w:cs="微软雅黑"/>
          <w:kern w:val="0"/>
          <w:sz w:val="24"/>
        </w:rPr>
        <w:t>交付物的确认形式分为：签字、接收两种形式。接收表示经双方项目经理确认后视为交付物成功交付；签字表示在接收的基础上，双方项目经理签字后视为交付物成功的交付。</w:t>
      </w:r>
    </w:p>
    <w:p>
      <w:pPr>
        <w:pStyle w:val="46"/>
        <w:autoSpaceDE w:val="0"/>
        <w:autoSpaceDN w:val="0"/>
        <w:adjustRightInd w:val="0"/>
        <w:snapToGrid w:val="0"/>
        <w:spacing w:line="360" w:lineRule="auto"/>
        <w:ind w:firstLineChars="0"/>
        <w:jc w:val="left"/>
        <w:rPr>
          <w:rFonts w:hint="eastAsia" w:ascii="宋体" w:hAnsi="宋体" w:cs="微软雅黑"/>
          <w:kern w:val="0"/>
          <w:sz w:val="24"/>
        </w:rPr>
      </w:pPr>
      <w:r>
        <w:rPr>
          <w:rFonts w:hint="eastAsia" w:ascii="宋体" w:hAnsi="宋体" w:cs="微软雅黑"/>
          <w:kern w:val="0"/>
          <w:sz w:val="24"/>
        </w:rPr>
        <w:t>供应商应根据自身实施方法论和项目管理经验详细描述项目各阶段交付物，应至少在项目中提供以下交付物：</w:t>
      </w:r>
    </w:p>
    <w:tbl>
      <w:tblPr>
        <w:tblStyle w:val="19"/>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8"/>
        <w:gridCol w:w="879"/>
        <w:gridCol w:w="3422"/>
        <w:gridCol w:w="2162"/>
        <w:gridCol w:w="2191"/>
      </w:tblGrid>
      <w:tr>
        <w:tblPrEx>
          <w:tblCellMar>
            <w:top w:w="0" w:type="dxa"/>
            <w:left w:w="108" w:type="dxa"/>
            <w:bottom w:w="0" w:type="dxa"/>
            <w:right w:w="108" w:type="dxa"/>
          </w:tblCellMar>
        </w:tblPrEx>
        <w:trPr>
          <w:tblHeader/>
        </w:trPr>
        <w:tc>
          <w:tcPr>
            <w:tcW w:w="0" w:type="auto"/>
            <w:gridSpan w:val="2"/>
            <w:shd w:val="clear" w:color="auto" w:fill="E6E6E6"/>
          </w:tcPr>
          <w:p>
            <w:pPr>
              <w:spacing w:before="48" w:after="156" w:afterLines="50"/>
              <w:jc w:val="center"/>
              <w:rPr>
                <w:rFonts w:hint="eastAsia" w:ascii="仿宋" w:hAnsi="仿宋" w:eastAsia="仿宋" w:cs="仿宋"/>
                <w:b/>
                <w:bCs/>
                <w:sz w:val="20"/>
                <w:szCs w:val="20"/>
              </w:rPr>
            </w:pPr>
            <w:bookmarkStart w:id="157" w:name="_Hlk202434161"/>
            <w:bookmarkStart w:id="158" w:name="_Hlk202434183"/>
            <w:r>
              <w:rPr>
                <w:rFonts w:hint="eastAsia" w:ascii="仿宋" w:hAnsi="仿宋" w:eastAsia="仿宋" w:cs="仿宋"/>
                <w:b/>
                <w:bCs/>
                <w:sz w:val="20"/>
                <w:szCs w:val="20"/>
              </w:rPr>
              <w:t>项目阶段</w:t>
            </w:r>
          </w:p>
        </w:tc>
        <w:tc>
          <w:tcPr>
            <w:tcW w:w="0" w:type="auto"/>
            <w:shd w:val="clear" w:color="auto" w:fill="E6E6E6"/>
          </w:tcPr>
          <w:p>
            <w:pPr>
              <w:spacing w:before="48" w:after="156" w:afterLines="50"/>
              <w:jc w:val="center"/>
              <w:rPr>
                <w:rFonts w:hint="eastAsia" w:ascii="仿宋" w:hAnsi="仿宋" w:eastAsia="仿宋" w:cs="仿宋"/>
                <w:b/>
                <w:bCs/>
                <w:sz w:val="20"/>
                <w:szCs w:val="20"/>
              </w:rPr>
            </w:pPr>
            <w:r>
              <w:rPr>
                <w:rFonts w:hint="eastAsia" w:ascii="仿宋" w:hAnsi="仿宋" w:eastAsia="仿宋" w:cs="仿宋"/>
                <w:b/>
                <w:bCs/>
                <w:sz w:val="20"/>
                <w:szCs w:val="20"/>
              </w:rPr>
              <w:t>乙方职责</w:t>
            </w:r>
          </w:p>
        </w:tc>
        <w:tc>
          <w:tcPr>
            <w:tcW w:w="0" w:type="auto"/>
            <w:shd w:val="clear" w:color="auto" w:fill="E6E6E6"/>
          </w:tcPr>
          <w:p>
            <w:pPr>
              <w:spacing w:before="48" w:after="156" w:afterLines="50"/>
              <w:jc w:val="center"/>
              <w:rPr>
                <w:rFonts w:hint="eastAsia" w:ascii="仿宋" w:hAnsi="仿宋" w:eastAsia="仿宋" w:cs="仿宋"/>
                <w:b/>
                <w:bCs/>
                <w:sz w:val="20"/>
                <w:szCs w:val="20"/>
              </w:rPr>
            </w:pPr>
            <w:r>
              <w:rPr>
                <w:rFonts w:hint="eastAsia" w:ascii="仿宋" w:hAnsi="仿宋" w:eastAsia="仿宋" w:cs="仿宋"/>
                <w:b/>
                <w:bCs/>
                <w:sz w:val="20"/>
                <w:szCs w:val="20"/>
              </w:rPr>
              <w:t>甲方职责</w:t>
            </w:r>
          </w:p>
        </w:tc>
        <w:tc>
          <w:tcPr>
            <w:tcW w:w="0" w:type="auto"/>
            <w:shd w:val="clear" w:color="auto" w:fill="E6E6E6"/>
          </w:tcPr>
          <w:p>
            <w:pPr>
              <w:spacing w:before="48" w:after="156" w:afterLines="50"/>
              <w:jc w:val="center"/>
              <w:rPr>
                <w:rFonts w:hint="eastAsia" w:ascii="仿宋" w:hAnsi="仿宋" w:eastAsia="仿宋" w:cs="仿宋"/>
                <w:b/>
                <w:bCs/>
                <w:sz w:val="20"/>
                <w:szCs w:val="20"/>
              </w:rPr>
            </w:pPr>
            <w:r>
              <w:rPr>
                <w:rFonts w:hint="eastAsia" w:ascii="仿宋" w:hAnsi="仿宋" w:eastAsia="仿宋" w:cs="仿宋"/>
                <w:b/>
                <w:bCs/>
                <w:sz w:val="20"/>
                <w:szCs w:val="20"/>
              </w:rPr>
              <w:t>交付件</w:t>
            </w:r>
          </w:p>
        </w:tc>
      </w:tr>
      <w:tr>
        <w:tblPrEx>
          <w:tblCellMar>
            <w:top w:w="0" w:type="dxa"/>
            <w:left w:w="108" w:type="dxa"/>
            <w:bottom w:w="0" w:type="dxa"/>
            <w:right w:w="108" w:type="dxa"/>
          </w:tblCellMar>
        </w:tblPrEx>
        <w:tc>
          <w:tcPr>
            <w:tcW w:w="0" w:type="auto"/>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bCs/>
                <w:sz w:val="20"/>
                <w:szCs w:val="20"/>
              </w:rPr>
              <w:t>项目管理</w:t>
            </w:r>
          </w:p>
        </w:tc>
        <w:tc>
          <w:tcPr>
            <w:tcW w:w="0" w:type="auto"/>
            <w:vAlign w:val="center"/>
          </w:tcPr>
          <w:p>
            <w:pPr>
              <w:spacing w:before="48" w:after="156" w:afterLines="50"/>
              <w:jc w:val="center"/>
              <w:rPr>
                <w:rFonts w:hint="eastAsia" w:ascii="仿宋" w:hAnsi="仿宋" w:eastAsia="仿宋" w:cs="仿宋"/>
                <w:sz w:val="20"/>
                <w:szCs w:val="20"/>
              </w:rPr>
            </w:pP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质量管理；</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进度管理；</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风险控制；</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人员调度、管理；</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变更控制；</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变革管理。</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质量监控；</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进度监控；</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协调与其它开发商的合作，保证项目的质量和进度不被影响。</w:t>
            </w:r>
          </w:p>
        </w:tc>
        <w:tc>
          <w:tcPr>
            <w:tcW w:w="0" w:type="auto"/>
          </w:tcPr>
          <w:p>
            <w:pPr>
              <w:numPr>
                <w:ilvl w:val="0"/>
                <w:numId w:val="7"/>
              </w:numPr>
              <w:spacing w:before="48" w:after="156" w:afterLines="50"/>
              <w:ind w:left="175" w:hanging="175"/>
              <w:rPr>
                <w:rFonts w:hint="eastAsia" w:ascii="仿宋" w:hAnsi="仿宋" w:eastAsia="仿宋" w:cs="仿宋"/>
                <w:sz w:val="20"/>
                <w:szCs w:val="20"/>
              </w:rPr>
            </w:pPr>
            <w:r>
              <w:rPr>
                <w:rFonts w:hint="eastAsia" w:ascii="仿宋" w:hAnsi="仿宋" w:eastAsia="仿宋" w:cs="仿宋"/>
                <w:sz w:val="20"/>
                <w:szCs w:val="20"/>
              </w:rPr>
              <w:t>《项目实施方法培训资料》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restart"/>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启动阶段</w:t>
            </w:r>
          </w:p>
        </w:tc>
        <w:tc>
          <w:tcPr>
            <w:tcW w:w="0" w:type="auto"/>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项目启动前期准备</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与甲方共同确定双方项目组专职成员的工作角色及各自的责任，确定互相沟通的方式、项目组的纪律和工作时间表；</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编写项目实施计划；</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安排项目成员按时到达甲方指定现场开展工作。</w:t>
            </w:r>
          </w:p>
        </w:tc>
        <w:tc>
          <w:tcPr>
            <w:tcW w:w="0" w:type="auto"/>
          </w:tcPr>
          <w:p>
            <w:pPr>
              <w:ind w:left="151"/>
              <w:rPr>
                <w:rFonts w:hint="eastAsia" w:ascii="仿宋" w:hAnsi="仿宋" w:eastAsia="仿宋" w:cs="仿宋"/>
                <w:sz w:val="20"/>
                <w:szCs w:val="20"/>
              </w:rPr>
            </w:pPr>
            <w:r>
              <w:rPr>
                <w:rFonts w:hint="eastAsia" w:ascii="仿宋" w:hAnsi="仿宋" w:eastAsia="仿宋" w:cs="仿宋"/>
                <w:sz w:val="20"/>
                <w:szCs w:val="20"/>
              </w:rPr>
              <w:t>参与准备并确认文档规范及文档模板；</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确认项目计划。</w:t>
            </w:r>
          </w:p>
          <w:p>
            <w:pPr>
              <w:ind w:left="151"/>
              <w:rPr>
                <w:rFonts w:hint="eastAsia" w:ascii="仿宋" w:hAnsi="仿宋" w:eastAsia="仿宋" w:cs="仿宋"/>
                <w:sz w:val="20"/>
                <w:szCs w:val="20"/>
              </w:rPr>
            </w:pP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《项目计划》（以Word及Project形式提供）</w:t>
            </w:r>
          </w:p>
          <w:p>
            <w:pPr>
              <w:ind w:left="151"/>
              <w:rPr>
                <w:rFonts w:hint="eastAsia" w:ascii="仿宋" w:hAnsi="仿宋" w:eastAsia="仿宋" w:cs="仿宋"/>
                <w:sz w:val="20"/>
                <w:szCs w:val="20"/>
              </w:rPr>
            </w:pPr>
          </w:p>
        </w:tc>
      </w:tr>
      <w:tr>
        <w:tblPrEx>
          <w:tblCellMar>
            <w:top w:w="0" w:type="dxa"/>
            <w:left w:w="108" w:type="dxa"/>
            <w:bottom w:w="0" w:type="dxa"/>
            <w:right w:w="108" w:type="dxa"/>
          </w:tblCellMar>
        </w:tblPrEx>
        <w:tc>
          <w:tcPr>
            <w:tcW w:w="0" w:type="auto"/>
            <w:vMerge w:val="continue"/>
            <w:vAlign w:val="center"/>
          </w:tcPr>
          <w:p>
            <w:pPr>
              <w:spacing w:before="48" w:after="156" w:afterLines="50"/>
              <w:jc w:val="center"/>
              <w:rPr>
                <w:rFonts w:hint="eastAsia" w:ascii="仿宋" w:hAnsi="仿宋" w:eastAsia="仿宋" w:cs="仿宋"/>
                <w:sz w:val="20"/>
                <w:szCs w:val="20"/>
              </w:rPr>
            </w:pPr>
          </w:p>
        </w:tc>
        <w:tc>
          <w:tcPr>
            <w:tcW w:w="0" w:type="auto"/>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项目启动</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编写项目启动会材料；</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召开项目启动会。</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确认项目启动会材料；</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组织召开项目启动会。</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《项目启动会材料》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0" w:type="auto"/>
            <w:vMerge w:val="continue"/>
            <w:vAlign w:val="center"/>
          </w:tcPr>
          <w:p>
            <w:pPr>
              <w:spacing w:before="48" w:after="156" w:afterLines="50"/>
              <w:jc w:val="center"/>
              <w:rPr>
                <w:rFonts w:hint="eastAsia" w:ascii="仿宋" w:hAnsi="仿宋" w:eastAsia="仿宋" w:cs="仿宋"/>
                <w:sz w:val="20"/>
                <w:szCs w:val="20"/>
              </w:rPr>
            </w:pPr>
          </w:p>
        </w:tc>
        <w:tc>
          <w:tcPr>
            <w:tcW w:w="0" w:type="auto"/>
            <w:gridSpan w:val="4"/>
            <w:vAlign w:val="center"/>
          </w:tcPr>
          <w:p>
            <w:pPr>
              <w:spacing w:before="48" w:after="156" w:afterLines="50"/>
              <w:jc w:val="center"/>
              <w:rPr>
                <w:rFonts w:hint="eastAsia" w:ascii="仿宋" w:hAnsi="仿宋" w:eastAsia="仿宋" w:cs="仿宋"/>
                <w:b/>
                <w:sz w:val="20"/>
                <w:szCs w:val="20"/>
              </w:rPr>
            </w:pPr>
            <w:r>
              <w:rPr>
                <w:rFonts w:hint="eastAsia" w:ascii="仿宋" w:hAnsi="仿宋" w:eastAsia="仿宋" w:cs="仿宋"/>
                <w:b/>
                <w:sz w:val="20"/>
                <w:szCs w:val="20"/>
              </w:rPr>
              <w:t>乙方提交上述交付作品，获得甲方的签字接收，则视为本阶段完成</w:t>
            </w:r>
          </w:p>
        </w:tc>
      </w:tr>
      <w:tr>
        <w:tblPrEx>
          <w:tblCellMar>
            <w:top w:w="0" w:type="dxa"/>
            <w:left w:w="108" w:type="dxa"/>
            <w:bottom w:w="0" w:type="dxa"/>
            <w:right w:w="108" w:type="dxa"/>
          </w:tblCellMar>
        </w:tblPrEx>
        <w:trPr>
          <w:trHeight w:val="1840" w:hRule="atLeast"/>
        </w:trPr>
        <w:tc>
          <w:tcPr>
            <w:tcW w:w="0" w:type="auto"/>
            <w:vMerge w:val="restart"/>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分析设计阶段</w:t>
            </w:r>
          </w:p>
        </w:tc>
        <w:tc>
          <w:tcPr>
            <w:tcW w:w="0" w:type="auto"/>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业务需求调研与需求分析</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确定本项目需要调研的提纲和对象；</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组织和进行调研，并记录调研情况；</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进行业务现状与差距分析；</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分析现有系统和业务流程；</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组织和参与需求访谈及讨论；</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融入乙方的实施经验和方法论，确定项目需求分析内容；</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修改业务需求分析说明书。</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协调被调研对象展开调研工作；</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协调并安排访谈时程及地点；</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确定项目涉及的应用系统相关的说明文档；</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提供业务系统的业务流程、管理制度文档。</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《业务调研访谈纪要》</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《业务现状调研及需求分析报告》</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《系统整体规划方案》（含系统架构设计）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pPr>
              <w:spacing w:before="48" w:after="156" w:afterLines="50"/>
              <w:jc w:val="center"/>
              <w:rPr>
                <w:rFonts w:hint="eastAsia" w:ascii="仿宋" w:hAnsi="仿宋" w:eastAsia="仿宋" w:cs="仿宋"/>
                <w:sz w:val="20"/>
                <w:szCs w:val="20"/>
              </w:rPr>
            </w:pPr>
          </w:p>
        </w:tc>
        <w:tc>
          <w:tcPr>
            <w:tcW w:w="0" w:type="auto"/>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方案设计</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目标业务流程设计与系统详细解决方案设计；</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数据标准化方案制定；</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制定实施策略，包括开发策略、并行策略、数据准备与转换策略；</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客户化开发清单并确定优先级；</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数据收集、清理、转化、迁移方案；</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组织与指导数据收集与清理(后续阶段持续该项任务)。</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参与方案设计阶段工作并确认乙方交付成果；</w:t>
            </w:r>
          </w:p>
          <w:p>
            <w:pPr>
              <w:numPr>
                <w:ilvl w:val="0"/>
                <w:numId w:val="7"/>
              </w:numPr>
              <w:ind w:left="168" w:hanging="168" w:hangingChars="84"/>
              <w:rPr>
                <w:rFonts w:hint="eastAsia" w:ascii="仿宋" w:hAnsi="仿宋" w:eastAsia="仿宋" w:cs="仿宋"/>
                <w:sz w:val="20"/>
                <w:szCs w:val="20"/>
              </w:rPr>
            </w:pP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《业务蓝图及系统解决方案》（含目标流程和系统功能设计）</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《开发功能清单》</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《问题记录跟踪表》</w:t>
            </w:r>
          </w:p>
          <w:p>
            <w:pPr>
              <w:ind w:left="151"/>
              <w:rPr>
                <w:rFonts w:hint="eastAsia" w:ascii="仿宋" w:hAnsi="仿宋" w:eastAsia="仿宋" w:cs="仿宋"/>
                <w:sz w:val="20"/>
                <w:szCs w:val="20"/>
              </w:rPr>
            </w:pPr>
          </w:p>
        </w:tc>
      </w:tr>
      <w:tr>
        <w:tblPrEx>
          <w:tblCellMar>
            <w:top w:w="0" w:type="dxa"/>
            <w:left w:w="108" w:type="dxa"/>
            <w:bottom w:w="0" w:type="dxa"/>
            <w:right w:w="108" w:type="dxa"/>
          </w:tblCellMar>
        </w:tblPrEx>
        <w:trPr>
          <w:trHeight w:val="239" w:hRule="atLeast"/>
        </w:trPr>
        <w:tc>
          <w:tcPr>
            <w:tcW w:w="0" w:type="auto"/>
            <w:vMerge w:val="continue"/>
            <w:vAlign w:val="center"/>
          </w:tcPr>
          <w:p>
            <w:pPr>
              <w:spacing w:before="48" w:after="156" w:afterLines="50"/>
              <w:jc w:val="center"/>
              <w:rPr>
                <w:rFonts w:hint="eastAsia" w:ascii="仿宋" w:hAnsi="仿宋" w:eastAsia="仿宋" w:cs="仿宋"/>
                <w:sz w:val="20"/>
                <w:szCs w:val="20"/>
              </w:rPr>
            </w:pPr>
          </w:p>
        </w:tc>
        <w:tc>
          <w:tcPr>
            <w:tcW w:w="0" w:type="auto"/>
            <w:gridSpan w:val="4"/>
            <w:vAlign w:val="center"/>
          </w:tcPr>
          <w:p>
            <w:pPr>
              <w:spacing w:before="48" w:after="156" w:afterLines="50"/>
              <w:jc w:val="center"/>
              <w:rPr>
                <w:rFonts w:hint="eastAsia" w:ascii="仿宋" w:hAnsi="仿宋" w:eastAsia="仿宋" w:cs="仿宋"/>
                <w:b/>
                <w:sz w:val="20"/>
                <w:szCs w:val="20"/>
              </w:rPr>
            </w:pPr>
            <w:r>
              <w:rPr>
                <w:rFonts w:hint="eastAsia" w:ascii="仿宋" w:hAnsi="仿宋" w:eastAsia="仿宋" w:cs="仿宋"/>
                <w:b/>
                <w:sz w:val="20"/>
                <w:szCs w:val="20"/>
              </w:rPr>
              <w:t>乙方提交上述交付作品，获得甲方的签字接受，则视为本阶段完成</w:t>
            </w:r>
          </w:p>
        </w:tc>
      </w:tr>
      <w:tr>
        <w:tblPrEx>
          <w:tblCellMar>
            <w:top w:w="0" w:type="dxa"/>
            <w:left w:w="108" w:type="dxa"/>
            <w:bottom w:w="0" w:type="dxa"/>
            <w:right w:w="108" w:type="dxa"/>
          </w:tblCellMar>
        </w:tblPrEx>
        <w:tc>
          <w:tcPr>
            <w:tcW w:w="0" w:type="auto"/>
            <w:vMerge w:val="restart"/>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构建测试阶段</w:t>
            </w:r>
          </w:p>
        </w:tc>
        <w:tc>
          <w:tcPr>
            <w:tcW w:w="0" w:type="auto"/>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构建及单元测试</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安装系统开发环境；</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系统安装、维护培训；</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系统开发培训；</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系统设置；</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根据详细设计方案进行客户化功能设计；</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根据客户化开发功能设计进行客户化开发技术设计；</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设计数据接口；</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设计应用系统客户化应用功能；</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进行客户化开发；</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制定单元和子系统测试计划和测试案例；</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进行客户化代码审查；</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执行单元测试和子系统测试；</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数据质量分析（该项任务在后续阶段将持续）。</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协助安装系统开发环境；</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参与客户化开发功能设计；</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参与客户化技术设计；</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参与系统开发；</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参与单元测试；</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接受培训。</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《系统安装和维护说明文档》</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《硬件安装和维护说明文档》</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《开发培训材料》</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《客户化功能设计说明书》</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《客户化开发源程序代码》（可完整编译运行于生产环境的源代码）</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《问题记录跟踪表》</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《培训材料》</w:t>
            </w:r>
          </w:p>
        </w:tc>
      </w:tr>
      <w:bookmarkEnd w:id="15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pPr>
              <w:spacing w:before="48" w:after="156" w:afterLines="50"/>
              <w:jc w:val="center"/>
              <w:rPr>
                <w:rFonts w:hint="eastAsia" w:ascii="仿宋" w:hAnsi="仿宋" w:eastAsia="仿宋" w:cs="仿宋"/>
                <w:sz w:val="20"/>
                <w:szCs w:val="20"/>
              </w:rPr>
            </w:pPr>
          </w:p>
        </w:tc>
        <w:tc>
          <w:tcPr>
            <w:tcW w:w="0" w:type="auto"/>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用户接受测试</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安装、设置和维护系统生产环境；</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指导期初数据，包含余额、动态数据收集，培训收集方法；</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根据数据迁移方案进行数据迁移；</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制定《系统用户接受测试计划》（或简称UAT）（包括准备测试案例和测试数据）；</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明确甲方和乙方在用户接受测试中的责任与义务，提供甲方应配合的内容、测试相关环境等要求；</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协助甲方执行用户接受测试；</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评估用户接受测试的结果，分析出现的问题并解决；</w:t>
            </w:r>
          </w:p>
          <w:p>
            <w:pPr>
              <w:numPr>
                <w:ilvl w:val="0"/>
                <w:numId w:val="7"/>
              </w:numPr>
              <w:ind w:left="168" w:hanging="168" w:hangingChars="84"/>
              <w:rPr>
                <w:rFonts w:hint="eastAsia" w:ascii="仿宋" w:hAnsi="仿宋" w:eastAsia="仿宋" w:cs="仿宋"/>
                <w:sz w:val="20"/>
                <w:szCs w:val="20"/>
              </w:rPr>
            </w:pP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协助安装生产环境；</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执行期初数据收集与核查；</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协助数据迁移；</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确认《系统用户测试计划》；</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负责协调和组织业务部门进行用户测试；</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根据UAT计划进行用户接受测试，包括测试数据准备和测试结果确认；</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与乙方一起分析UAT中出现的问题；</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《UAT测试计划》</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《UAT测试报告》</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《问题记录跟踪表》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pPr>
              <w:spacing w:before="48" w:after="156" w:afterLines="50"/>
              <w:jc w:val="center"/>
              <w:rPr>
                <w:rFonts w:hint="eastAsia" w:ascii="仿宋" w:hAnsi="仿宋" w:eastAsia="仿宋" w:cs="仿宋"/>
                <w:sz w:val="20"/>
                <w:szCs w:val="20"/>
              </w:rPr>
            </w:pPr>
          </w:p>
        </w:tc>
        <w:tc>
          <w:tcPr>
            <w:tcW w:w="0" w:type="auto"/>
            <w:gridSpan w:val="4"/>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b/>
                <w:sz w:val="20"/>
                <w:szCs w:val="20"/>
              </w:rPr>
              <w:t>乙方提交上述交付作品，获得甲方的签字接受，则视为本阶段完成。</w:t>
            </w:r>
          </w:p>
        </w:tc>
      </w:tr>
      <w:tr>
        <w:tblPrEx>
          <w:tblCellMar>
            <w:top w:w="0" w:type="dxa"/>
            <w:left w:w="108" w:type="dxa"/>
            <w:bottom w:w="0" w:type="dxa"/>
            <w:right w:w="108" w:type="dxa"/>
          </w:tblCellMar>
        </w:tblPrEx>
        <w:tc>
          <w:tcPr>
            <w:tcW w:w="0" w:type="auto"/>
            <w:vMerge w:val="restart"/>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上线切换阶段</w:t>
            </w:r>
          </w:p>
        </w:tc>
        <w:tc>
          <w:tcPr>
            <w:tcW w:w="0" w:type="auto"/>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最终用户培训</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制定最终用户培训计划；</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指导项目组专职成员撰写最终用户培训教材；</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指导项目组专职成员撰写最终用户操作手册；</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指导最终用户培训计划的落实，评估培训效果并及时改进。</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项目组专职成员撰写最终用户的培训教材；</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项目组专职成员撰写最终用户的操作手册；</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负责目标学员的课程登记注册等事务工作；</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统计最终用户的课程参加率，并收集最终用户的培训反馈。</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《培训计划》</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《培训教材》</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《操作手册》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pPr>
              <w:spacing w:before="48" w:after="156" w:afterLines="50"/>
              <w:jc w:val="center"/>
              <w:rPr>
                <w:rFonts w:hint="eastAsia" w:ascii="仿宋" w:hAnsi="仿宋" w:eastAsia="仿宋" w:cs="仿宋"/>
                <w:sz w:val="20"/>
                <w:szCs w:val="20"/>
              </w:rPr>
            </w:pPr>
          </w:p>
        </w:tc>
        <w:tc>
          <w:tcPr>
            <w:tcW w:w="0" w:type="auto"/>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系统上线切换</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制定上线切换计划及方案，包括投产的前提条件、组织、切换方案和应急处理方案；</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指导最终的期初数据，包含余额、静态、动态数据最终收集；</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期初数据导入与验证；</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执行系统上线。</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协助制定最终的上线方案；</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执行期初数据最终收集；</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协助导入数据，确认数据。</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《上线切换计划和方案》</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《最后切换检查表》</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《数据导入文档》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spacing w:before="48" w:after="156" w:afterLines="50"/>
              <w:jc w:val="center"/>
              <w:rPr>
                <w:rFonts w:hint="eastAsia" w:ascii="仿宋" w:hAnsi="仿宋" w:eastAsia="仿宋" w:cs="仿宋"/>
                <w:sz w:val="20"/>
                <w:szCs w:val="20"/>
              </w:rPr>
            </w:pPr>
          </w:p>
        </w:tc>
        <w:tc>
          <w:tcPr>
            <w:tcW w:w="0" w:type="auto"/>
            <w:gridSpan w:val="4"/>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b/>
                <w:sz w:val="20"/>
                <w:szCs w:val="20"/>
              </w:rPr>
              <w:t>系统上线成功，数据核准无误，系统上线运行稳定，各岗位业务工作运转正常，且乙方交付物获得甲方签字接受，则视为本阶段完成。</w:t>
            </w:r>
          </w:p>
        </w:tc>
      </w:tr>
      <w:tr>
        <w:tblPrEx>
          <w:tblCellMar>
            <w:top w:w="0" w:type="dxa"/>
            <w:left w:w="108" w:type="dxa"/>
            <w:bottom w:w="0" w:type="dxa"/>
            <w:right w:w="108" w:type="dxa"/>
          </w:tblCellMar>
        </w:tblPrEx>
        <w:tc>
          <w:tcPr>
            <w:tcW w:w="0" w:type="auto"/>
            <w:vMerge w:val="restart"/>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运维支持阶段</w:t>
            </w:r>
          </w:p>
        </w:tc>
        <w:tc>
          <w:tcPr>
            <w:tcW w:w="0" w:type="auto"/>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运维支持</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协助甲方制定相关业务操作规章制定；</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解决维护期间中发现的项目相关问题；</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指导甲方根据需要调整相关的管理制度，将变革成果进行固化；</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在系统上线后，将提供上线后2个月支持，第二月项目运行支持工作方式不限于远程支持方式，主要取决于问题处理响应及结果导向；</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系统上线1个月并稳定后，撰写上线总结报告；</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系统稳定上线3个月后，撰写系统运维报告。</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制定相关业务操作规章制度；</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书面提供问题故障情况说明；</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提供需维护的生产环境及数据；</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协调甲方系统管理员，根据生产要求对系统及其它系统进行调整或配置；</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根据需要调整相关的管理制度，将变革成果进行固化。</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《上线总结报告》</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《运维报告》</w:t>
            </w:r>
          </w:p>
          <w:p>
            <w:pPr>
              <w:rPr>
                <w:rFonts w:hint="eastAsia" w:ascii="仿宋" w:hAnsi="仿宋" w:eastAsia="仿宋" w:cs="仿宋"/>
                <w:sz w:val="20"/>
                <w:szCs w:val="20"/>
              </w:rPr>
            </w:pPr>
          </w:p>
        </w:tc>
      </w:tr>
      <w:tr>
        <w:tblPrEx>
          <w:tblCellMar>
            <w:top w:w="0" w:type="dxa"/>
            <w:left w:w="108" w:type="dxa"/>
            <w:bottom w:w="0" w:type="dxa"/>
            <w:right w:w="108" w:type="dxa"/>
          </w:tblCellMar>
        </w:tblPrEx>
        <w:tc>
          <w:tcPr>
            <w:tcW w:w="0" w:type="auto"/>
            <w:vMerge w:val="continue"/>
            <w:vAlign w:val="center"/>
          </w:tcPr>
          <w:p>
            <w:pPr>
              <w:spacing w:before="48" w:after="156" w:afterLines="50"/>
              <w:jc w:val="center"/>
              <w:rPr>
                <w:rFonts w:hint="eastAsia" w:ascii="仿宋" w:hAnsi="仿宋" w:eastAsia="仿宋" w:cs="仿宋"/>
                <w:sz w:val="20"/>
                <w:szCs w:val="20"/>
              </w:rPr>
            </w:pPr>
          </w:p>
        </w:tc>
        <w:tc>
          <w:tcPr>
            <w:tcW w:w="0" w:type="auto"/>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sz w:val="20"/>
                <w:szCs w:val="20"/>
              </w:rPr>
              <w:t>总结验收</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整理、完善项目交付物；</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提交项目验收报告。</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确认、接收项目交付物；</w:t>
            </w:r>
          </w:p>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确认项目验收报告。</w:t>
            </w:r>
          </w:p>
        </w:tc>
        <w:tc>
          <w:tcPr>
            <w:tcW w:w="0" w:type="auto"/>
          </w:tcPr>
          <w:p>
            <w:pPr>
              <w:numPr>
                <w:ilvl w:val="0"/>
                <w:numId w:val="7"/>
              </w:numPr>
              <w:ind w:left="168" w:hanging="168" w:hangingChars="84"/>
              <w:rPr>
                <w:rFonts w:hint="eastAsia" w:ascii="仿宋" w:hAnsi="仿宋" w:eastAsia="仿宋" w:cs="仿宋"/>
                <w:sz w:val="20"/>
                <w:szCs w:val="20"/>
              </w:rPr>
            </w:pPr>
            <w:r>
              <w:rPr>
                <w:rFonts w:hint="eastAsia" w:ascii="仿宋" w:hAnsi="仿宋" w:eastAsia="仿宋" w:cs="仿宋"/>
                <w:sz w:val="20"/>
                <w:szCs w:val="20"/>
              </w:rPr>
              <w:t>《项目验收报告》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vAlign w:val="center"/>
          </w:tcPr>
          <w:p>
            <w:pPr>
              <w:spacing w:before="48" w:after="156" w:afterLines="50"/>
              <w:jc w:val="center"/>
              <w:rPr>
                <w:rFonts w:hint="eastAsia" w:ascii="仿宋" w:hAnsi="仿宋" w:eastAsia="仿宋" w:cs="仿宋"/>
                <w:sz w:val="20"/>
                <w:szCs w:val="20"/>
              </w:rPr>
            </w:pPr>
          </w:p>
        </w:tc>
        <w:tc>
          <w:tcPr>
            <w:tcW w:w="0" w:type="auto"/>
            <w:gridSpan w:val="4"/>
            <w:vAlign w:val="center"/>
          </w:tcPr>
          <w:p>
            <w:pPr>
              <w:spacing w:before="48" w:after="156" w:afterLines="50"/>
              <w:jc w:val="center"/>
              <w:rPr>
                <w:rFonts w:hint="eastAsia" w:ascii="仿宋" w:hAnsi="仿宋" w:eastAsia="仿宋" w:cs="仿宋"/>
                <w:sz w:val="20"/>
                <w:szCs w:val="20"/>
              </w:rPr>
            </w:pPr>
            <w:r>
              <w:rPr>
                <w:rFonts w:hint="eastAsia" w:ascii="仿宋" w:hAnsi="仿宋" w:eastAsia="仿宋" w:cs="仿宋"/>
                <w:b/>
                <w:sz w:val="20"/>
                <w:szCs w:val="20"/>
              </w:rPr>
              <w:t>上线切换正常运行三个月，乙方提交上线总结报告且双方项目经理签字确认，则视本阶段上线工作完成</w:t>
            </w:r>
          </w:p>
        </w:tc>
      </w:tr>
      <w:bookmarkEnd w:id="158"/>
    </w:tbl>
    <w:p>
      <w:pPr>
        <w:pStyle w:val="30"/>
        <w:numPr>
          <w:ilvl w:val="0"/>
          <w:numId w:val="0"/>
        </w:numPr>
      </w:pPr>
      <w:bookmarkStart w:id="159" w:name="_Toc22986"/>
      <w:bookmarkStart w:id="160" w:name="_Toc5172"/>
      <w:bookmarkStart w:id="161" w:name="_Toc202442854"/>
      <w:bookmarkStart w:id="162" w:name="_Toc90641884"/>
      <w:bookmarkStart w:id="163" w:name="_Toc85270879"/>
      <w:bookmarkStart w:id="164" w:name="_Toc85282390"/>
      <w:r>
        <w:rPr>
          <w:rFonts w:hint="eastAsia"/>
        </w:rPr>
        <w:t>6.5 知识转移</w:t>
      </w:r>
      <w:bookmarkEnd w:id="159"/>
      <w:bookmarkEnd w:id="160"/>
      <w:bookmarkEnd w:id="161"/>
      <w:bookmarkEnd w:id="162"/>
      <w:bookmarkEnd w:id="163"/>
      <w:bookmarkEnd w:id="164"/>
    </w:p>
    <w:p>
      <w:pPr>
        <w:widowControl/>
        <w:overflowPunct w:val="0"/>
        <w:autoSpaceDE w:val="0"/>
        <w:autoSpaceDN w:val="0"/>
        <w:adjustRightInd w:val="0"/>
        <w:snapToGrid w:val="0"/>
        <w:spacing w:line="360" w:lineRule="auto"/>
        <w:ind w:firstLine="480" w:firstLineChars="200"/>
        <w:textAlignment w:val="baseline"/>
        <w:rPr>
          <w:rFonts w:hint="eastAsia" w:ascii="宋体" w:hAnsi="宋体" w:cs="微软雅黑"/>
          <w:kern w:val="0"/>
          <w:sz w:val="24"/>
        </w:rPr>
      </w:pPr>
      <w:r>
        <w:rPr>
          <w:rFonts w:hint="eastAsia" w:ascii="宋体" w:hAnsi="宋体" w:cs="微软雅黑"/>
          <w:kern w:val="0"/>
          <w:sz w:val="24"/>
        </w:rPr>
        <w:t>项目知识转移是未来系统良好运作的保障，供应商需将采用多种模式进行知识转移。</w:t>
      </w:r>
      <w:r>
        <w:rPr>
          <w:rFonts w:ascii="宋体" w:hAnsi="宋体" w:cs="微软雅黑"/>
          <w:kern w:val="0"/>
          <w:sz w:val="24"/>
        </w:rPr>
        <w:t xml:space="preserve"> </w:t>
      </w:r>
    </w:p>
    <w:p>
      <w:pPr>
        <w:spacing w:line="360" w:lineRule="auto"/>
        <w:ind w:firstLine="480" w:firstLineChars="200"/>
        <w:rPr>
          <w:rFonts w:hint="eastAsia" w:ascii="宋体" w:hAnsi="宋体" w:cs="微软雅黑"/>
          <w:kern w:val="0"/>
          <w:sz w:val="24"/>
          <w:szCs w:val="22"/>
        </w:rPr>
      </w:pPr>
      <w:r>
        <w:rPr>
          <w:rFonts w:hint="eastAsia" w:ascii="宋体" w:hAnsi="宋体" w:cs="微软雅黑"/>
          <w:kern w:val="0"/>
          <w:sz w:val="24"/>
          <w:szCs w:val="22"/>
        </w:rPr>
        <w:t>在项目实施过程中，针对具体技术方案，需要以会议记录，或文件报告方式留存并按各工作任务完成前及时提交给项目经理。</w:t>
      </w:r>
    </w:p>
    <w:p>
      <w:pPr>
        <w:pStyle w:val="30"/>
        <w:numPr>
          <w:ilvl w:val="0"/>
          <w:numId w:val="0"/>
        </w:numPr>
      </w:pPr>
      <w:bookmarkStart w:id="165" w:name="_Toc28853"/>
      <w:bookmarkStart w:id="166" w:name="_Toc90641885"/>
      <w:bookmarkStart w:id="167" w:name="_Toc85282391"/>
      <w:bookmarkStart w:id="168" w:name="_Toc202442855"/>
      <w:bookmarkStart w:id="169" w:name="_Toc3487"/>
      <w:r>
        <w:rPr>
          <w:rFonts w:hint="eastAsia"/>
        </w:rPr>
        <w:t>6.6售后服务</w:t>
      </w:r>
      <w:bookmarkEnd w:id="165"/>
      <w:bookmarkEnd w:id="166"/>
      <w:bookmarkEnd w:id="167"/>
      <w:bookmarkEnd w:id="168"/>
      <w:bookmarkEnd w:id="169"/>
    </w:p>
    <w:p>
      <w:pPr>
        <w:tabs>
          <w:tab w:val="left" w:pos="5430"/>
        </w:tabs>
        <w:spacing w:line="360" w:lineRule="auto"/>
        <w:ind w:firstLine="480" w:firstLineChars="200"/>
        <w:rPr>
          <w:kern w:val="0"/>
          <w:sz w:val="24"/>
        </w:rPr>
      </w:pPr>
      <w:bookmarkStart w:id="170" w:name="_Toc85282392"/>
      <w:bookmarkStart w:id="171" w:name="_Toc81669127"/>
      <w:bookmarkStart w:id="172" w:name="_Toc81670347"/>
      <w:bookmarkStart w:id="173" w:name="_Toc81670276"/>
      <w:bookmarkStart w:id="174" w:name="_Toc81733703"/>
      <w:r>
        <w:rPr>
          <w:rFonts w:hint="eastAsia"/>
          <w:kern w:val="0"/>
          <w:sz w:val="24"/>
        </w:rPr>
        <w:t>本项目软硬件免费质保期（自验收后）：</w:t>
      </w:r>
      <w:r>
        <w:rPr>
          <w:kern w:val="0"/>
          <w:sz w:val="24"/>
        </w:rPr>
        <w:t xml:space="preserve"> </w:t>
      </w:r>
      <w:r>
        <w:rPr>
          <w:rFonts w:hint="eastAsia"/>
          <w:kern w:val="0"/>
          <w:sz w:val="24"/>
        </w:rPr>
        <w:t>2</w:t>
      </w:r>
      <w:r>
        <w:rPr>
          <w:kern w:val="0"/>
          <w:sz w:val="24"/>
        </w:rPr>
        <w:t xml:space="preserve"> </w:t>
      </w:r>
      <w:r>
        <w:rPr>
          <w:rFonts w:hint="eastAsia"/>
          <w:kern w:val="0"/>
          <w:sz w:val="24"/>
        </w:rPr>
        <w:t>年</w:t>
      </w:r>
      <w:bookmarkEnd w:id="170"/>
      <w:bookmarkEnd w:id="171"/>
      <w:bookmarkEnd w:id="172"/>
      <w:bookmarkEnd w:id="173"/>
      <w:bookmarkEnd w:id="174"/>
      <w:r>
        <w:rPr>
          <w:kern w:val="0"/>
          <w:sz w:val="24"/>
        </w:rPr>
        <w:tab/>
      </w:r>
      <w:r>
        <w:rPr>
          <w:kern w:val="0"/>
          <w:sz w:val="24"/>
        </w:rPr>
        <w:tab/>
      </w:r>
    </w:p>
    <w:p>
      <w:pPr>
        <w:pStyle w:val="30"/>
        <w:numPr>
          <w:ilvl w:val="0"/>
          <w:numId w:val="0"/>
        </w:numPr>
      </w:pPr>
      <w:bookmarkStart w:id="175" w:name="_Toc202442856"/>
      <w:bookmarkStart w:id="176" w:name="_Toc31212"/>
      <w:bookmarkStart w:id="177" w:name="_Toc90641886"/>
      <w:bookmarkStart w:id="178" w:name="_Toc14112"/>
      <w:bookmarkStart w:id="179" w:name="_Toc85282393"/>
      <w:r>
        <w:rPr>
          <w:rFonts w:hint="eastAsia"/>
        </w:rPr>
        <w:t>6.7技术服务要求</w:t>
      </w:r>
      <w:bookmarkEnd w:id="175"/>
      <w:bookmarkEnd w:id="176"/>
      <w:bookmarkEnd w:id="177"/>
      <w:bookmarkEnd w:id="178"/>
      <w:bookmarkEnd w:id="179"/>
    </w:p>
    <w:p>
      <w:pPr>
        <w:spacing w:line="360" w:lineRule="exact"/>
        <w:ind w:firstLine="480" w:firstLineChars="200"/>
        <w:jc w:val="left"/>
        <w:rPr>
          <w:rFonts w:hint="eastAsia" w:ascii="宋体" w:hAnsi="宋体"/>
          <w:sz w:val="24"/>
          <w:szCs w:val="22"/>
        </w:rPr>
      </w:pPr>
      <w:r>
        <w:rPr>
          <w:rFonts w:ascii="宋体" w:hAnsi="宋体"/>
          <w:sz w:val="24"/>
          <w:szCs w:val="22"/>
        </w:rPr>
        <w:t>保质期内</w:t>
      </w:r>
      <w:r>
        <w:rPr>
          <w:rFonts w:hint="eastAsia" w:ascii="宋体" w:hAnsi="宋体"/>
          <w:sz w:val="24"/>
          <w:szCs w:val="22"/>
        </w:rPr>
        <w:t>向远东提供</w:t>
      </w:r>
      <w:r>
        <w:rPr>
          <w:rFonts w:ascii="宋体" w:hAnsi="宋体"/>
          <w:sz w:val="24"/>
          <w:szCs w:val="22"/>
        </w:rPr>
        <w:t>7×24</w:t>
      </w:r>
      <w:r>
        <w:rPr>
          <w:rFonts w:hint="eastAsia" w:ascii="宋体" w:hAnsi="宋体"/>
          <w:sz w:val="24"/>
          <w:szCs w:val="22"/>
        </w:rPr>
        <w:t>小时电话、</w:t>
      </w:r>
      <w:r>
        <w:rPr>
          <w:rFonts w:ascii="宋体" w:hAnsi="宋体"/>
          <w:sz w:val="24"/>
          <w:szCs w:val="22"/>
        </w:rPr>
        <w:t>E-mail</w:t>
      </w:r>
      <w:r>
        <w:rPr>
          <w:rFonts w:hint="eastAsia" w:ascii="宋体" w:hAnsi="宋体"/>
          <w:sz w:val="24"/>
          <w:szCs w:val="22"/>
        </w:rPr>
        <w:t>及现场支持服务。</w:t>
      </w:r>
    </w:p>
    <w:tbl>
      <w:tblPr>
        <w:tblStyle w:val="19"/>
        <w:tblW w:w="91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7"/>
        <w:gridCol w:w="4554"/>
      </w:tblGrid>
      <w:tr>
        <w:tblPrEx>
          <w:tblCellMar>
            <w:top w:w="0" w:type="dxa"/>
            <w:left w:w="108" w:type="dxa"/>
            <w:bottom w:w="0" w:type="dxa"/>
            <w:right w:w="108" w:type="dxa"/>
          </w:tblCellMar>
        </w:tblPrEx>
        <w:trPr>
          <w:trHeight w:val="143" w:hRule="atLeast"/>
          <w:jc w:val="center"/>
        </w:trPr>
        <w:tc>
          <w:tcPr>
            <w:tcW w:w="9111" w:type="dxa"/>
            <w:gridSpan w:val="2"/>
            <w:vAlign w:val="center"/>
          </w:tcPr>
          <w:p>
            <w:pPr>
              <w:spacing w:line="360" w:lineRule="exact"/>
              <w:ind w:firstLine="480" w:firstLineChars="200"/>
              <w:jc w:val="center"/>
              <w:rPr>
                <w:rFonts w:hint="eastAsia" w:ascii="宋体" w:hAnsi="宋体"/>
                <w:b/>
                <w:sz w:val="24"/>
                <w:szCs w:val="22"/>
              </w:rPr>
            </w:pPr>
            <w:r>
              <w:rPr>
                <w:rFonts w:hint="eastAsia" w:ascii="宋体" w:hAnsi="宋体"/>
                <w:b/>
                <w:sz w:val="24"/>
                <w:szCs w:val="22"/>
              </w:rPr>
              <w:t>故障响应要求</w:t>
            </w:r>
          </w:p>
        </w:tc>
      </w:tr>
      <w:tr>
        <w:tblPrEx>
          <w:tblCellMar>
            <w:top w:w="0" w:type="dxa"/>
            <w:left w:w="108" w:type="dxa"/>
            <w:bottom w:w="0" w:type="dxa"/>
            <w:right w:w="108" w:type="dxa"/>
          </w:tblCellMar>
        </w:tblPrEx>
        <w:trPr>
          <w:trHeight w:val="235" w:hRule="atLeast"/>
          <w:jc w:val="center"/>
        </w:trPr>
        <w:tc>
          <w:tcPr>
            <w:tcW w:w="4557" w:type="dxa"/>
            <w:vAlign w:val="center"/>
          </w:tcPr>
          <w:p>
            <w:pPr>
              <w:spacing w:line="360" w:lineRule="exact"/>
              <w:ind w:firstLine="480" w:firstLineChars="200"/>
              <w:jc w:val="center"/>
              <w:rPr>
                <w:rFonts w:hint="eastAsia" w:ascii="宋体" w:hAnsi="宋体"/>
                <w:b/>
                <w:sz w:val="24"/>
                <w:szCs w:val="22"/>
              </w:rPr>
            </w:pPr>
            <w:r>
              <w:rPr>
                <w:rFonts w:hint="eastAsia" w:ascii="宋体" w:hAnsi="宋体"/>
                <w:b/>
                <w:sz w:val="24"/>
                <w:szCs w:val="22"/>
              </w:rPr>
              <w:t>故障现象</w:t>
            </w:r>
          </w:p>
        </w:tc>
        <w:tc>
          <w:tcPr>
            <w:tcW w:w="4554" w:type="dxa"/>
            <w:vAlign w:val="center"/>
          </w:tcPr>
          <w:p>
            <w:pPr>
              <w:spacing w:line="360" w:lineRule="exact"/>
              <w:ind w:firstLine="480" w:firstLineChars="200"/>
              <w:jc w:val="center"/>
              <w:rPr>
                <w:rFonts w:hint="eastAsia" w:ascii="宋体" w:hAnsi="宋体"/>
                <w:b/>
                <w:sz w:val="24"/>
                <w:szCs w:val="22"/>
              </w:rPr>
            </w:pPr>
            <w:r>
              <w:rPr>
                <w:rFonts w:hint="eastAsia" w:ascii="宋体" w:hAnsi="宋体"/>
                <w:b/>
                <w:sz w:val="24"/>
                <w:szCs w:val="22"/>
              </w:rPr>
              <w:t>故障响应时间及处理要求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atLeast"/>
          <w:jc w:val="center"/>
        </w:trPr>
        <w:tc>
          <w:tcPr>
            <w:tcW w:w="4557" w:type="dxa"/>
            <w:vAlign w:val="center"/>
          </w:tcPr>
          <w:p>
            <w:pPr>
              <w:spacing w:line="360" w:lineRule="exact"/>
              <w:ind w:firstLine="480" w:firstLineChars="200"/>
              <w:jc w:val="left"/>
              <w:rPr>
                <w:rFonts w:hint="eastAsia" w:ascii="宋体" w:hAnsi="宋体"/>
                <w:sz w:val="24"/>
                <w:szCs w:val="22"/>
              </w:rPr>
            </w:pPr>
            <w:r>
              <w:rPr>
                <w:rFonts w:hint="eastAsia" w:ascii="宋体" w:hAnsi="宋体"/>
                <w:sz w:val="24"/>
                <w:szCs w:val="22"/>
              </w:rPr>
              <w:t>系统宕机、系统或设备大部分功能无法使用或系统性能严重下降，导致系统的日常业务活动无法正常进行【严重问题】</w:t>
            </w:r>
          </w:p>
        </w:tc>
        <w:tc>
          <w:tcPr>
            <w:tcW w:w="4554" w:type="dxa"/>
            <w:vAlign w:val="center"/>
          </w:tcPr>
          <w:p>
            <w:pPr>
              <w:spacing w:line="360" w:lineRule="exact"/>
              <w:ind w:firstLine="480" w:firstLineChars="200"/>
              <w:jc w:val="left"/>
              <w:rPr>
                <w:rFonts w:hint="eastAsia" w:ascii="宋体" w:hAnsi="宋体"/>
                <w:sz w:val="24"/>
                <w:szCs w:val="22"/>
              </w:rPr>
            </w:pPr>
            <w:r>
              <w:rPr>
                <w:rFonts w:hint="eastAsia" w:ascii="宋体" w:hAnsi="宋体"/>
                <w:sz w:val="24"/>
                <w:szCs w:val="22"/>
              </w:rPr>
              <w:t>供应商需在24小时内到达现场，到达现场后8小时内确诊故障，24小时内恢复系统正常使用</w:t>
            </w:r>
          </w:p>
        </w:tc>
      </w:tr>
      <w:tr>
        <w:tblPrEx>
          <w:tblCellMar>
            <w:top w:w="0" w:type="dxa"/>
            <w:left w:w="108" w:type="dxa"/>
            <w:bottom w:w="0" w:type="dxa"/>
            <w:right w:w="108" w:type="dxa"/>
          </w:tblCellMar>
        </w:tblPrEx>
        <w:trPr>
          <w:trHeight w:val="1080" w:hRule="atLeast"/>
          <w:jc w:val="center"/>
        </w:trPr>
        <w:tc>
          <w:tcPr>
            <w:tcW w:w="4557" w:type="dxa"/>
            <w:vAlign w:val="center"/>
          </w:tcPr>
          <w:p>
            <w:pPr>
              <w:spacing w:line="360" w:lineRule="exact"/>
              <w:ind w:firstLine="480" w:firstLineChars="200"/>
              <w:jc w:val="left"/>
              <w:rPr>
                <w:rFonts w:hint="eastAsia" w:ascii="宋体" w:hAnsi="宋体"/>
                <w:sz w:val="24"/>
                <w:szCs w:val="22"/>
              </w:rPr>
            </w:pPr>
            <w:r>
              <w:rPr>
                <w:rFonts w:hint="eastAsia" w:ascii="宋体" w:hAnsi="宋体"/>
                <w:sz w:val="24"/>
                <w:szCs w:val="22"/>
              </w:rPr>
              <w:t>系统或设备出现错误或少部分功能无法使用，系统的大部分业务活动可进行【重大问题】</w:t>
            </w:r>
          </w:p>
        </w:tc>
        <w:tc>
          <w:tcPr>
            <w:tcW w:w="4554" w:type="dxa"/>
            <w:vAlign w:val="center"/>
          </w:tcPr>
          <w:p>
            <w:pPr>
              <w:spacing w:line="360" w:lineRule="exact"/>
              <w:ind w:firstLine="480" w:firstLineChars="200"/>
              <w:jc w:val="left"/>
              <w:rPr>
                <w:rFonts w:hint="eastAsia" w:ascii="宋体" w:hAnsi="宋体"/>
                <w:sz w:val="24"/>
                <w:szCs w:val="22"/>
              </w:rPr>
            </w:pPr>
            <w:r>
              <w:rPr>
                <w:rFonts w:hint="eastAsia" w:ascii="宋体" w:hAnsi="宋体"/>
                <w:sz w:val="24"/>
                <w:szCs w:val="22"/>
              </w:rPr>
              <w:t>供应商在接到故障报告后，需在8小时内确诊故障，24个小时内恢复系统正常使用</w:t>
            </w:r>
          </w:p>
        </w:tc>
      </w:tr>
      <w:tr>
        <w:tblPrEx>
          <w:tblCellMar>
            <w:top w:w="0" w:type="dxa"/>
            <w:left w:w="108" w:type="dxa"/>
            <w:bottom w:w="0" w:type="dxa"/>
            <w:right w:w="108" w:type="dxa"/>
          </w:tblCellMar>
        </w:tblPrEx>
        <w:trPr>
          <w:trHeight w:val="1080" w:hRule="atLeast"/>
          <w:jc w:val="center"/>
        </w:trPr>
        <w:tc>
          <w:tcPr>
            <w:tcW w:w="4557" w:type="dxa"/>
            <w:vAlign w:val="center"/>
          </w:tcPr>
          <w:p>
            <w:pPr>
              <w:spacing w:line="360" w:lineRule="exact"/>
              <w:ind w:firstLine="480" w:firstLineChars="200"/>
              <w:jc w:val="left"/>
              <w:rPr>
                <w:rFonts w:hint="eastAsia" w:ascii="宋体" w:hAnsi="宋体"/>
                <w:sz w:val="24"/>
                <w:szCs w:val="22"/>
              </w:rPr>
            </w:pPr>
            <w:r>
              <w:rPr>
                <w:rFonts w:hint="eastAsia" w:ascii="宋体" w:hAnsi="宋体"/>
                <w:sz w:val="24"/>
                <w:szCs w:val="22"/>
              </w:rPr>
              <w:t>设备功能或配置等方面需要支持，对系统的业务活动几乎无影响【一般问题】</w:t>
            </w:r>
          </w:p>
        </w:tc>
        <w:tc>
          <w:tcPr>
            <w:tcW w:w="4554" w:type="dxa"/>
            <w:vAlign w:val="center"/>
          </w:tcPr>
          <w:p>
            <w:pPr>
              <w:spacing w:line="360" w:lineRule="exact"/>
              <w:ind w:firstLine="480" w:firstLineChars="200"/>
              <w:jc w:val="left"/>
              <w:rPr>
                <w:rFonts w:hint="eastAsia" w:ascii="宋体" w:hAnsi="宋体"/>
                <w:sz w:val="24"/>
                <w:szCs w:val="22"/>
              </w:rPr>
            </w:pPr>
            <w:r>
              <w:rPr>
                <w:rFonts w:hint="eastAsia" w:ascii="宋体" w:hAnsi="宋体"/>
                <w:sz w:val="24"/>
                <w:szCs w:val="22"/>
              </w:rPr>
              <w:t>供应商接到远东咨询后，1个工作日内给予答复，并负责问题解决过程的技术支持，直到问题得到解决</w:t>
            </w:r>
          </w:p>
        </w:tc>
      </w:tr>
    </w:tbl>
    <w:p>
      <w:pPr>
        <w:tabs>
          <w:tab w:val="left" w:pos="0"/>
        </w:tabs>
        <w:spacing w:line="360" w:lineRule="auto"/>
        <w:rPr>
          <w:rFonts w:hint="eastAsia" w:ascii="宋体" w:hAnsi="宋体"/>
          <w:szCs w:val="22"/>
        </w:rPr>
      </w:pPr>
      <w:r>
        <w:rPr>
          <w:rFonts w:hint="eastAsia" w:ascii="宋体" w:hAnsi="宋体"/>
          <w:szCs w:val="22"/>
        </w:rPr>
        <w:br w:type="page"/>
      </w:r>
    </w:p>
    <w:p>
      <w:pPr>
        <w:pStyle w:val="3"/>
        <w:rPr>
          <w:rFonts w:hint="eastAsia"/>
        </w:rPr>
      </w:pPr>
      <w:bookmarkStart w:id="180" w:name="_Toc202442857"/>
      <w:bookmarkStart w:id="181" w:name="_Toc23244"/>
      <w:r>
        <w:rPr>
          <w:rFonts w:hint="eastAsia"/>
        </w:rPr>
        <w:t>七 项目验收</w:t>
      </w:r>
      <w:bookmarkEnd w:id="180"/>
      <w:bookmarkEnd w:id="181"/>
    </w:p>
    <w:p>
      <w:pPr>
        <w:pStyle w:val="30"/>
        <w:numPr>
          <w:ilvl w:val="0"/>
          <w:numId w:val="0"/>
        </w:numPr>
      </w:pPr>
      <w:bookmarkStart w:id="182" w:name="_Toc429"/>
      <w:bookmarkStart w:id="183" w:name="_Toc28804"/>
      <w:bookmarkStart w:id="184" w:name="_Toc90641888"/>
      <w:bookmarkStart w:id="185" w:name="_Toc202442858"/>
      <w:r>
        <w:rPr>
          <w:rFonts w:hint="eastAsia"/>
        </w:rPr>
        <w:t>7.1 项目验收</w:t>
      </w:r>
      <w:bookmarkEnd w:id="182"/>
      <w:bookmarkEnd w:id="183"/>
      <w:bookmarkEnd w:id="184"/>
      <w:bookmarkEnd w:id="185"/>
    </w:p>
    <w:p>
      <w:pPr>
        <w:numPr>
          <w:ilvl w:val="0"/>
          <w:numId w:val="8"/>
        </w:numPr>
        <w:spacing w:line="360" w:lineRule="auto"/>
        <w:rPr>
          <w:rFonts w:ascii="Calibri" w:hAnsi="Calibri"/>
          <w:color w:val="000000"/>
          <w:sz w:val="24"/>
          <w:szCs w:val="22"/>
        </w:rPr>
      </w:pPr>
      <w:r>
        <w:rPr>
          <w:rFonts w:ascii="Calibri" w:hAnsi="Calibri"/>
          <w:color w:val="000000"/>
          <w:sz w:val="24"/>
          <w:szCs w:val="22"/>
        </w:rPr>
        <w:t>能够协同各集成系统</w:t>
      </w:r>
      <w:r>
        <w:rPr>
          <w:rFonts w:hint="eastAsia" w:ascii="Calibri" w:hAnsi="Calibri"/>
          <w:color w:val="000000"/>
          <w:sz w:val="24"/>
          <w:szCs w:val="22"/>
        </w:rPr>
        <w:t>连续稳定运行三个月</w:t>
      </w:r>
      <w:r>
        <w:rPr>
          <w:rFonts w:ascii="Calibri" w:hAnsi="Calibri"/>
          <w:color w:val="000000"/>
          <w:sz w:val="24"/>
          <w:szCs w:val="22"/>
        </w:rPr>
        <w:t>。</w:t>
      </w:r>
    </w:p>
    <w:p>
      <w:pPr>
        <w:numPr>
          <w:ilvl w:val="0"/>
          <w:numId w:val="8"/>
        </w:numPr>
        <w:spacing w:line="360" w:lineRule="auto"/>
        <w:rPr>
          <w:rFonts w:ascii="Calibri" w:hAnsi="Calibri"/>
          <w:sz w:val="24"/>
          <w:szCs w:val="22"/>
        </w:rPr>
      </w:pPr>
      <w:r>
        <w:rPr>
          <w:rFonts w:hint="eastAsia" w:ascii="Calibri" w:hAnsi="Calibri"/>
          <w:sz w:val="24"/>
          <w:szCs w:val="22"/>
        </w:rPr>
        <w:t>按照本《技术要求》的内容，满足本项目实施范围的业务使用和指标要求；</w:t>
      </w:r>
    </w:p>
    <w:p>
      <w:pPr>
        <w:numPr>
          <w:ilvl w:val="0"/>
          <w:numId w:val="8"/>
        </w:numPr>
        <w:spacing w:line="360" w:lineRule="auto"/>
        <w:rPr>
          <w:rFonts w:ascii="Calibri" w:hAnsi="Calibri"/>
          <w:sz w:val="24"/>
          <w:szCs w:val="22"/>
        </w:rPr>
      </w:pPr>
      <w:r>
        <w:rPr>
          <w:rFonts w:hint="eastAsia" w:ascii="Calibri" w:hAnsi="Calibri"/>
          <w:sz w:val="24"/>
          <w:szCs w:val="22"/>
        </w:rPr>
        <w:t>提供符合规范的验证数据，并能在系统上正常运行；</w:t>
      </w:r>
    </w:p>
    <w:p>
      <w:pPr>
        <w:numPr>
          <w:ilvl w:val="0"/>
          <w:numId w:val="8"/>
        </w:numPr>
        <w:spacing w:line="360" w:lineRule="auto"/>
        <w:rPr>
          <w:rFonts w:ascii="Calibri" w:hAnsi="Calibri"/>
          <w:sz w:val="24"/>
          <w:szCs w:val="22"/>
        </w:rPr>
      </w:pPr>
      <w:r>
        <w:rPr>
          <w:rFonts w:hint="eastAsia" w:ascii="Calibri" w:hAnsi="Calibri"/>
          <w:sz w:val="24"/>
          <w:szCs w:val="22"/>
        </w:rPr>
        <w:t>按第六章第6.4节项目交付要求，完成验收报告。</w:t>
      </w:r>
    </w:p>
    <w:p>
      <w:pPr>
        <w:ind w:firstLine="420" w:firstLineChars="200"/>
        <w:rPr>
          <w:rFonts w:ascii="Calibri" w:hAnsi="Calibri"/>
          <w:szCs w:val="22"/>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left"/>
        <w:rPr>
          <w:rFonts w:hint="eastAsia" w:ascii="宋体" w:hAnsi="宋体"/>
          <w:b/>
          <w:bCs/>
          <w:sz w:val="24"/>
        </w:rPr>
      </w:pPr>
    </w:p>
    <w:p>
      <w:pPr>
        <w:spacing w:line="360" w:lineRule="auto"/>
        <w:jc w:val="right"/>
        <w:rPr>
          <w:rFonts w:hint="eastAsia" w:ascii="宋体" w:hAnsi="宋体"/>
          <w:b/>
          <w:bCs/>
          <w:sz w:val="24"/>
        </w:rPr>
      </w:pPr>
      <w:r>
        <w:rPr>
          <w:rFonts w:hint="eastAsia" w:ascii="宋体" w:hAnsi="宋体"/>
          <w:b/>
          <w:bCs/>
          <w:sz w:val="24"/>
        </w:rPr>
        <w:t>制造数智部                                                                2025.09.30</w:t>
      </w:r>
    </w:p>
    <w:p>
      <w:pPr>
        <w:spacing w:line="360" w:lineRule="auto"/>
        <w:outlineLvl w:val="0"/>
        <w:rPr>
          <w:rFonts w:hint="eastAsia" w:ascii="宋体" w:hAnsi="宋体" w:cs="宋体"/>
          <w:b/>
          <w:bCs/>
          <w:sz w:val="24"/>
        </w:rPr>
      </w:pPr>
      <w:bookmarkStart w:id="186" w:name="_Toc202442859"/>
      <w:r>
        <w:rPr>
          <w:rFonts w:hint="eastAsia" w:ascii="宋体" w:hAnsi="宋体" w:cs="宋体"/>
          <w:b/>
          <w:bCs/>
          <w:sz w:val="24"/>
        </w:rPr>
        <w:t>附件一 设备数据采集清单</w:t>
      </w:r>
      <w:bookmarkEnd w:id="186"/>
    </w:p>
    <w:tbl>
      <w:tblPr>
        <w:tblStyle w:val="19"/>
        <w:tblW w:w="0" w:type="auto"/>
        <w:jc w:val="center"/>
        <w:tblLayout w:type="fixed"/>
        <w:tblCellMar>
          <w:top w:w="0" w:type="dxa"/>
          <w:left w:w="108" w:type="dxa"/>
          <w:bottom w:w="0" w:type="dxa"/>
          <w:right w:w="108" w:type="dxa"/>
        </w:tblCellMar>
      </w:tblPr>
      <w:tblGrid>
        <w:gridCol w:w="684"/>
        <w:gridCol w:w="1870"/>
        <w:gridCol w:w="736"/>
        <w:gridCol w:w="2047"/>
        <w:gridCol w:w="1953"/>
        <w:gridCol w:w="933"/>
      </w:tblGrid>
      <w:tr>
        <w:tblPrEx>
          <w:tblCellMar>
            <w:top w:w="0" w:type="dxa"/>
            <w:left w:w="108" w:type="dxa"/>
            <w:bottom w:w="0" w:type="dxa"/>
            <w:right w:w="108" w:type="dxa"/>
          </w:tblCellMar>
        </w:tblPrEx>
        <w:trPr>
          <w:trHeight w:val="52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仿宋" w:hAnsi="仿宋" w:eastAsia="仿宋" w:cs="仿宋"/>
                <w:b/>
                <w:bCs/>
                <w:color w:val="000000"/>
                <w:sz w:val="20"/>
                <w:szCs w:val="20"/>
              </w:rPr>
            </w:pPr>
            <w:r>
              <w:rPr>
                <w:rFonts w:hint="eastAsia" w:ascii="仿宋" w:hAnsi="仿宋" w:eastAsia="仿宋" w:cs="仿宋"/>
                <w:b/>
                <w:bCs/>
                <w:color w:val="000000"/>
                <w:kern w:val="0"/>
                <w:sz w:val="20"/>
                <w:szCs w:val="20"/>
                <w:lang w:bidi="ar"/>
              </w:rPr>
              <w:t>编号</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b/>
                <w:bCs/>
                <w:color w:val="000000"/>
                <w:sz w:val="20"/>
                <w:szCs w:val="20"/>
              </w:rPr>
            </w:pPr>
            <w:r>
              <w:rPr>
                <w:rFonts w:hint="eastAsia" w:ascii="仿宋" w:hAnsi="仿宋" w:eastAsia="仿宋" w:cs="仿宋"/>
                <w:b/>
                <w:bCs/>
                <w:color w:val="000000"/>
                <w:kern w:val="0"/>
                <w:sz w:val="20"/>
                <w:szCs w:val="20"/>
                <w:lang w:bidi="ar"/>
              </w:rPr>
              <w:t>设备名称</w:t>
            </w:r>
          </w:p>
        </w:tc>
        <w:tc>
          <w:tcPr>
            <w:tcW w:w="73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仿宋" w:hAnsi="仿宋" w:eastAsia="仿宋" w:cs="仿宋"/>
                <w:b/>
                <w:bCs/>
                <w:color w:val="000000"/>
                <w:sz w:val="20"/>
                <w:szCs w:val="20"/>
              </w:rPr>
            </w:pPr>
            <w:r>
              <w:rPr>
                <w:rFonts w:hint="eastAsia" w:ascii="仿宋" w:hAnsi="仿宋" w:eastAsia="仿宋" w:cs="仿宋"/>
                <w:b/>
                <w:bCs/>
                <w:color w:val="000000"/>
                <w:kern w:val="0"/>
                <w:sz w:val="20"/>
                <w:szCs w:val="20"/>
                <w:lang w:bidi="ar"/>
              </w:rPr>
              <w:t>数量（台）</w:t>
            </w:r>
          </w:p>
        </w:tc>
        <w:tc>
          <w:tcPr>
            <w:tcW w:w="20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0"/>
                <w:szCs w:val="20"/>
              </w:rPr>
            </w:pPr>
            <w:bookmarkStart w:id="230" w:name="_GoBack"/>
            <w:bookmarkEnd w:id="230"/>
            <w:r>
              <w:rPr>
                <w:rFonts w:hint="eastAsia" w:ascii="仿宋" w:hAnsi="仿宋" w:eastAsia="仿宋" w:cs="仿宋"/>
                <w:b/>
                <w:bCs/>
                <w:color w:val="000000"/>
                <w:kern w:val="0"/>
                <w:sz w:val="20"/>
                <w:szCs w:val="20"/>
                <w:lang w:bidi="ar"/>
              </w:rPr>
              <w:t>型号规格</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0"/>
                <w:szCs w:val="20"/>
              </w:rPr>
            </w:pPr>
            <w:r>
              <w:rPr>
                <w:rFonts w:hint="eastAsia" w:ascii="仿宋" w:hAnsi="仿宋" w:eastAsia="仿宋" w:cs="仿宋"/>
                <w:b/>
                <w:bCs/>
                <w:color w:val="000000"/>
                <w:kern w:val="0"/>
                <w:sz w:val="20"/>
                <w:szCs w:val="20"/>
                <w:lang w:bidi="ar"/>
              </w:rPr>
              <w:t>采集项目</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b/>
                <w:bCs/>
                <w:color w:val="000000"/>
                <w:sz w:val="20"/>
                <w:szCs w:val="20"/>
              </w:rPr>
            </w:pPr>
            <w:r>
              <w:rPr>
                <w:rFonts w:hint="eastAsia" w:ascii="仿宋" w:hAnsi="仿宋" w:eastAsia="仿宋" w:cs="仿宋"/>
                <w:b/>
                <w:bCs/>
                <w:color w:val="000000"/>
                <w:kern w:val="0"/>
                <w:sz w:val="20"/>
                <w:szCs w:val="20"/>
                <w:lang w:bidi="ar"/>
              </w:rPr>
              <w:t>单位</w:t>
            </w:r>
          </w:p>
        </w:tc>
      </w:tr>
      <w:tr>
        <w:tblPrEx>
          <w:tblCellMar>
            <w:top w:w="0" w:type="dxa"/>
            <w:left w:w="108" w:type="dxa"/>
            <w:bottom w:w="0" w:type="dxa"/>
            <w:right w:w="108" w:type="dxa"/>
          </w:tblCellMar>
        </w:tblPrEx>
        <w:trPr>
          <w:trHeight w:val="240" w:hRule="atLeast"/>
          <w:jc w:val="center"/>
        </w:trPr>
        <w:tc>
          <w:tcPr>
            <w:tcW w:w="684" w:type="dxa"/>
            <w:vMerge w:val="restart"/>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1870" w:type="dxa"/>
            <w:vMerge w:val="restart"/>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拉力试验机（500N、2000N、5000N、50kN）</w:t>
            </w:r>
          </w:p>
        </w:tc>
        <w:tc>
          <w:tcPr>
            <w:tcW w:w="736" w:type="dxa"/>
            <w:vMerge w:val="restart"/>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2047" w:type="dxa"/>
            <w:vMerge w:val="restart"/>
            <w:tcBorders>
              <w:top w:val="nil"/>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RGM-6005、RGM-6002、RGM-6050</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最大力</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N</w:t>
            </w:r>
          </w:p>
        </w:tc>
      </w:tr>
      <w:tr>
        <w:tblPrEx>
          <w:tblCellMar>
            <w:top w:w="0" w:type="dxa"/>
            <w:left w:w="108" w:type="dxa"/>
            <w:bottom w:w="0" w:type="dxa"/>
            <w:right w:w="108" w:type="dxa"/>
          </w:tblCellMar>
        </w:tblPrEx>
        <w:trPr>
          <w:trHeight w:val="260" w:hRule="atLeast"/>
          <w:jc w:val="center"/>
        </w:trPr>
        <w:tc>
          <w:tcPr>
            <w:tcW w:w="684" w:type="dxa"/>
            <w:vMerge w:val="continue"/>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nil"/>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断裂伸长率</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w:t>
            </w:r>
          </w:p>
        </w:tc>
      </w:tr>
      <w:tr>
        <w:tblPrEx>
          <w:tblCellMar>
            <w:top w:w="0" w:type="dxa"/>
            <w:left w:w="108" w:type="dxa"/>
            <w:bottom w:w="0" w:type="dxa"/>
            <w:right w:w="108" w:type="dxa"/>
          </w:tblCellMar>
        </w:tblPrEx>
        <w:trPr>
          <w:trHeight w:val="280" w:hRule="atLeast"/>
          <w:jc w:val="center"/>
        </w:trPr>
        <w:tc>
          <w:tcPr>
            <w:tcW w:w="6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1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介电常数检测仪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YG9187</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电容</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F</w:t>
            </w:r>
          </w:p>
        </w:tc>
      </w:tr>
      <w:tr>
        <w:tblPrEx>
          <w:tblCellMar>
            <w:top w:w="0" w:type="dxa"/>
            <w:left w:w="108" w:type="dxa"/>
            <w:bottom w:w="0" w:type="dxa"/>
            <w:right w:w="108" w:type="dxa"/>
          </w:tblCellMar>
        </w:tblPrEx>
        <w:trPr>
          <w:trHeight w:val="280" w:hRule="atLeast"/>
          <w:jc w:val="center"/>
        </w:trPr>
        <w:tc>
          <w:tcPr>
            <w:tcW w:w="6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1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电压击穿测试仪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RCS-100kV</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电压</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kV</w:t>
            </w:r>
          </w:p>
        </w:tc>
      </w:tr>
      <w:tr>
        <w:tblPrEx>
          <w:tblCellMar>
            <w:top w:w="0" w:type="dxa"/>
            <w:left w:w="108" w:type="dxa"/>
            <w:bottom w:w="0" w:type="dxa"/>
            <w:right w:w="108" w:type="dxa"/>
          </w:tblCellMar>
        </w:tblPrEx>
        <w:trPr>
          <w:trHeight w:val="280" w:hRule="atLeast"/>
          <w:jc w:val="center"/>
        </w:trPr>
        <w:tc>
          <w:tcPr>
            <w:tcW w:w="6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1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硬度计</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HTS-200A</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邵氏硬度</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HA</w:t>
            </w:r>
          </w:p>
        </w:tc>
      </w:tr>
      <w:tr>
        <w:tblPrEx>
          <w:tblCellMar>
            <w:top w:w="0" w:type="dxa"/>
            <w:left w:w="108" w:type="dxa"/>
            <w:bottom w:w="0" w:type="dxa"/>
            <w:right w:w="108" w:type="dxa"/>
          </w:tblCellMar>
        </w:tblPrEx>
        <w:trPr>
          <w:trHeight w:val="280" w:hRule="atLeast"/>
          <w:jc w:val="center"/>
        </w:trPr>
        <w:tc>
          <w:tcPr>
            <w:tcW w:w="6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沥青软化点测试仪(环球法)</w:t>
            </w:r>
          </w:p>
        </w:tc>
        <w:tc>
          <w:tcPr>
            <w:tcW w:w="7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FY-2806F</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软化点</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FF0000"/>
                <w:sz w:val="20"/>
                <w:szCs w:val="20"/>
              </w:rPr>
            </w:pPr>
            <w:r>
              <w:rPr>
                <w:rFonts w:hint="eastAsia" w:ascii="仿宋" w:hAnsi="仿宋" w:eastAsia="仿宋" w:cs="仿宋"/>
                <w:color w:val="000000"/>
                <w:kern w:val="0"/>
                <w:sz w:val="20"/>
                <w:szCs w:val="20"/>
                <w:lang w:bidi="ar"/>
              </w:rPr>
              <w:t>℃</w:t>
            </w:r>
          </w:p>
        </w:tc>
      </w:tr>
      <w:tr>
        <w:tblPrEx>
          <w:tblCellMar>
            <w:top w:w="0" w:type="dxa"/>
            <w:left w:w="108" w:type="dxa"/>
            <w:bottom w:w="0" w:type="dxa"/>
            <w:right w:w="108" w:type="dxa"/>
          </w:tblCellMar>
        </w:tblPrEx>
        <w:trPr>
          <w:trHeight w:val="260"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6</w:t>
            </w:r>
          </w:p>
        </w:tc>
        <w:tc>
          <w:tcPr>
            <w:tcW w:w="1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绝缘微孔杂质试验仪</w:t>
            </w:r>
          </w:p>
        </w:tc>
        <w:tc>
          <w:tcPr>
            <w:tcW w:w="73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VHX-X1F</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大于0.05mm的微孔数</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szCs w:val="22"/>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大于0.125mm的不透明杂质</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szCs w:val="22"/>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大于0.25mm的半透明深棕色杂质</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szCs w:val="22"/>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大于0.125mm的突起</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个</w:t>
            </w:r>
          </w:p>
        </w:tc>
      </w:tr>
      <w:tr>
        <w:tblPrEx>
          <w:tblCellMar>
            <w:top w:w="0" w:type="dxa"/>
            <w:left w:w="108" w:type="dxa"/>
            <w:bottom w:w="0" w:type="dxa"/>
            <w:right w:w="108" w:type="dxa"/>
          </w:tblCellMar>
        </w:tblPrEx>
        <w:trPr>
          <w:trHeight w:val="260"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7</w:t>
            </w:r>
          </w:p>
        </w:tc>
        <w:tc>
          <w:tcPr>
            <w:tcW w:w="1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全自动电线电缆绝缘层测试仪</w:t>
            </w:r>
          </w:p>
        </w:tc>
        <w:tc>
          <w:tcPr>
            <w:tcW w:w="73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w:t>
            </w:r>
          </w:p>
        </w:tc>
        <w:tc>
          <w:tcPr>
            <w:tcW w:w="1953"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厚度平均值</w:t>
            </w:r>
          </w:p>
        </w:tc>
        <w:tc>
          <w:tcPr>
            <w:tcW w:w="933"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mm</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szCs w:val="22"/>
              </w:rPr>
            </w:pPr>
          </w:p>
        </w:tc>
        <w:tc>
          <w:tcPr>
            <w:tcW w:w="1953"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厚度最小值</w:t>
            </w:r>
          </w:p>
        </w:tc>
        <w:tc>
          <w:tcPr>
            <w:tcW w:w="933"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mm</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szCs w:val="22"/>
              </w:rPr>
            </w:pPr>
          </w:p>
        </w:tc>
        <w:tc>
          <w:tcPr>
            <w:tcW w:w="1953"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厚度最大值</w:t>
            </w:r>
          </w:p>
        </w:tc>
        <w:tc>
          <w:tcPr>
            <w:tcW w:w="933" w:type="dxa"/>
            <w:tcBorders>
              <w:top w:val="single" w:color="000000" w:sz="4" w:space="0"/>
              <w:left w:val="nil"/>
              <w:bottom w:val="nil"/>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mm</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szCs w:val="22"/>
              </w:rPr>
            </w:pPr>
          </w:p>
        </w:tc>
        <w:tc>
          <w:tcPr>
            <w:tcW w:w="1953"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外径</w:t>
            </w:r>
          </w:p>
        </w:tc>
        <w:tc>
          <w:tcPr>
            <w:tcW w:w="933"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mm</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szCs w:val="22"/>
              </w:rPr>
            </w:pPr>
          </w:p>
        </w:tc>
        <w:tc>
          <w:tcPr>
            <w:tcW w:w="1953"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偏心度</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szCs w:val="22"/>
              </w:rPr>
            </w:pPr>
          </w:p>
        </w:tc>
        <w:tc>
          <w:tcPr>
            <w:tcW w:w="1953"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同心度</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w:t>
            </w:r>
          </w:p>
        </w:tc>
      </w:tr>
      <w:tr>
        <w:tblPrEx>
          <w:tblCellMar>
            <w:top w:w="0" w:type="dxa"/>
            <w:left w:w="108" w:type="dxa"/>
            <w:bottom w:w="0" w:type="dxa"/>
            <w:right w:w="108" w:type="dxa"/>
          </w:tblCellMar>
        </w:tblPrEx>
        <w:trPr>
          <w:trHeight w:val="29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szCs w:val="22"/>
              </w:rPr>
            </w:pPr>
          </w:p>
        </w:tc>
        <w:tc>
          <w:tcPr>
            <w:tcW w:w="1953"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截面积</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mm</w:t>
            </w:r>
            <w:r>
              <w:rPr>
                <w:rFonts w:ascii="仿宋" w:hAnsi="仿宋" w:eastAsia="仿宋" w:cs="仿宋"/>
                <w:color w:val="000000"/>
                <w:sz w:val="20"/>
                <w:szCs w:val="20"/>
                <w:vertAlign w:val="superscript"/>
                <w:lang w:bidi="ar"/>
              </w:rPr>
              <w:t>2</w:t>
            </w:r>
          </w:p>
        </w:tc>
      </w:tr>
      <w:tr>
        <w:tblPrEx>
          <w:tblCellMar>
            <w:top w:w="0" w:type="dxa"/>
            <w:left w:w="108" w:type="dxa"/>
            <w:bottom w:w="0" w:type="dxa"/>
            <w:right w:w="108" w:type="dxa"/>
          </w:tblCellMar>
        </w:tblPrEx>
        <w:trPr>
          <w:trHeight w:val="280"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1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数显直流电桥+电桥夹具</w:t>
            </w:r>
          </w:p>
        </w:tc>
        <w:tc>
          <w:tcPr>
            <w:tcW w:w="73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20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QJ36B-2A</w:t>
            </w:r>
          </w:p>
        </w:tc>
        <w:tc>
          <w:tcPr>
            <w:tcW w:w="195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导体直流电阻</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Ω/km</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YG2226-400A</w:t>
            </w:r>
          </w:p>
        </w:tc>
        <w:tc>
          <w:tcPr>
            <w:tcW w:w="195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m</w:t>
            </w:r>
          </w:p>
        </w:tc>
      </w:tr>
      <w:tr>
        <w:tblPrEx>
          <w:tblCellMar>
            <w:top w:w="0" w:type="dxa"/>
            <w:left w:w="108" w:type="dxa"/>
            <w:bottom w:w="0" w:type="dxa"/>
            <w:right w:w="108" w:type="dxa"/>
          </w:tblCellMar>
        </w:tblPrEx>
        <w:trPr>
          <w:trHeight w:val="520" w:hRule="atLeast"/>
          <w:jc w:val="center"/>
        </w:trPr>
        <w:tc>
          <w:tcPr>
            <w:tcW w:w="6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9</w:t>
            </w:r>
          </w:p>
        </w:tc>
        <w:tc>
          <w:tcPr>
            <w:tcW w:w="1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阻水带表面电阻/体积电阻率测试仪</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FT-303G</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体积电阻率</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Ω</w:t>
            </w:r>
            <w:r>
              <w:rPr>
                <w:rFonts w:eastAsia="仿宋"/>
                <w:color w:val="000000"/>
                <w:kern w:val="0"/>
                <w:sz w:val="20"/>
                <w:szCs w:val="20"/>
                <w:lang w:bidi="ar"/>
              </w:rPr>
              <w:t>•</w:t>
            </w:r>
            <w:r>
              <w:rPr>
                <w:rFonts w:hint="eastAsia" w:ascii="仿宋" w:hAnsi="仿宋" w:eastAsia="仿宋" w:cs="仿宋"/>
                <w:color w:val="000000"/>
                <w:kern w:val="0"/>
                <w:sz w:val="20"/>
                <w:szCs w:val="20"/>
                <w:lang w:bidi="ar"/>
              </w:rPr>
              <w:t>m</w:t>
            </w:r>
          </w:p>
        </w:tc>
      </w:tr>
      <w:tr>
        <w:tblPrEx>
          <w:tblCellMar>
            <w:top w:w="0" w:type="dxa"/>
            <w:left w:w="108" w:type="dxa"/>
            <w:bottom w:w="0" w:type="dxa"/>
            <w:right w:w="108" w:type="dxa"/>
          </w:tblCellMar>
        </w:tblPrEx>
        <w:trPr>
          <w:trHeight w:val="260"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1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低温试验箱</w:t>
            </w:r>
          </w:p>
        </w:tc>
        <w:tc>
          <w:tcPr>
            <w:tcW w:w="73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温度</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宋体" w:hAnsi="宋体" w:cs="宋体"/>
                <w:color w:val="000000"/>
                <w:sz w:val="22"/>
                <w:szCs w:val="22"/>
              </w:rPr>
            </w:pPr>
          </w:p>
        </w:tc>
        <w:tc>
          <w:tcPr>
            <w:tcW w:w="1953" w:type="dxa"/>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时间</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h</w:t>
            </w:r>
          </w:p>
        </w:tc>
      </w:tr>
      <w:tr>
        <w:tblPrEx>
          <w:tblCellMar>
            <w:top w:w="0" w:type="dxa"/>
            <w:left w:w="108" w:type="dxa"/>
            <w:bottom w:w="0" w:type="dxa"/>
            <w:right w:w="108" w:type="dxa"/>
          </w:tblCellMar>
        </w:tblPrEx>
        <w:trPr>
          <w:trHeight w:val="280" w:hRule="atLeast"/>
          <w:jc w:val="center"/>
        </w:trPr>
        <w:tc>
          <w:tcPr>
            <w:tcW w:w="6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11</w:t>
            </w:r>
          </w:p>
        </w:tc>
        <w:tc>
          <w:tcPr>
            <w:tcW w:w="18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高精密高压电容电桥</w:t>
            </w:r>
          </w:p>
        </w:tc>
        <w:tc>
          <w:tcPr>
            <w:tcW w:w="73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YG9187</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电容</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F</w:t>
            </w:r>
          </w:p>
        </w:tc>
      </w:tr>
      <w:tr>
        <w:tblPrEx>
          <w:tblCellMar>
            <w:top w:w="0" w:type="dxa"/>
            <w:left w:w="108" w:type="dxa"/>
            <w:bottom w:w="0" w:type="dxa"/>
            <w:right w:w="108" w:type="dxa"/>
          </w:tblCellMar>
        </w:tblPrEx>
        <w:trPr>
          <w:trHeight w:val="280"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12</w:t>
            </w:r>
          </w:p>
        </w:tc>
        <w:tc>
          <w:tcPr>
            <w:tcW w:w="1870" w:type="dxa"/>
            <w:vMerge w:val="restart"/>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直流电压发生器</w:t>
            </w:r>
          </w:p>
        </w:tc>
        <w:tc>
          <w:tcPr>
            <w:tcW w:w="73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ZDYK2000kV/30mA</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背景</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pC</w:t>
            </w:r>
          </w:p>
        </w:tc>
      </w:tr>
      <w:tr>
        <w:tblPrEx>
          <w:tblCellMar>
            <w:top w:w="0" w:type="dxa"/>
            <w:left w:w="108" w:type="dxa"/>
            <w:bottom w:w="0" w:type="dxa"/>
            <w:right w:w="108" w:type="dxa"/>
          </w:tblCellMar>
        </w:tblPrEx>
        <w:trPr>
          <w:trHeight w:val="28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nil"/>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局放量</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pC</w:t>
            </w:r>
          </w:p>
        </w:tc>
      </w:tr>
      <w:tr>
        <w:tblPrEx>
          <w:tblCellMar>
            <w:top w:w="0" w:type="dxa"/>
            <w:left w:w="108" w:type="dxa"/>
            <w:bottom w:w="0" w:type="dxa"/>
            <w:right w:w="108" w:type="dxa"/>
          </w:tblCellMar>
        </w:tblPrEx>
        <w:trPr>
          <w:trHeight w:val="28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nil"/>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试验电压</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kV</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nil"/>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时间</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h</w:t>
            </w:r>
          </w:p>
        </w:tc>
      </w:tr>
      <w:tr>
        <w:tblPrEx>
          <w:tblCellMar>
            <w:top w:w="0" w:type="dxa"/>
            <w:left w:w="108" w:type="dxa"/>
            <w:bottom w:w="0" w:type="dxa"/>
            <w:right w:w="108" w:type="dxa"/>
          </w:tblCellMar>
        </w:tblPrEx>
        <w:trPr>
          <w:trHeight w:val="638"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13</w:t>
            </w:r>
          </w:p>
        </w:tc>
        <w:tc>
          <w:tcPr>
            <w:tcW w:w="1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雷电冲击试验发生器</w:t>
            </w:r>
          </w:p>
        </w:tc>
        <w:tc>
          <w:tcPr>
            <w:tcW w:w="73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CDYH-4200kV/8400kJ</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试验电压</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kV</w:t>
            </w:r>
          </w:p>
        </w:tc>
      </w:tr>
      <w:tr>
        <w:tblPrEx>
          <w:tblCellMar>
            <w:top w:w="0" w:type="dxa"/>
            <w:left w:w="108" w:type="dxa"/>
            <w:bottom w:w="0" w:type="dxa"/>
            <w:right w:w="108" w:type="dxa"/>
          </w:tblCellMar>
        </w:tblPrEx>
        <w:trPr>
          <w:trHeight w:val="383"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时间</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h</w:t>
            </w:r>
          </w:p>
        </w:tc>
      </w:tr>
      <w:tr>
        <w:tblPrEx>
          <w:tblCellMar>
            <w:top w:w="0" w:type="dxa"/>
            <w:left w:w="108" w:type="dxa"/>
            <w:bottom w:w="0" w:type="dxa"/>
            <w:right w:w="108" w:type="dxa"/>
          </w:tblCellMar>
        </w:tblPrEx>
        <w:trPr>
          <w:trHeight w:val="280"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14</w:t>
            </w:r>
          </w:p>
        </w:tc>
        <w:tc>
          <w:tcPr>
            <w:tcW w:w="1870" w:type="dxa"/>
            <w:vMerge w:val="restart"/>
            <w:tcBorders>
              <w:top w:val="single" w:color="000000" w:sz="4" w:space="0"/>
              <w:left w:val="nil"/>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35kV XLPE电缆局放/耐压试验系统</w:t>
            </w:r>
          </w:p>
        </w:tc>
        <w:tc>
          <w:tcPr>
            <w:tcW w:w="73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JTCX-40kV/70KV/120kV/1200kVA</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背景</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pC</w:t>
            </w:r>
          </w:p>
        </w:tc>
      </w:tr>
      <w:tr>
        <w:tblPrEx>
          <w:tblCellMar>
            <w:top w:w="0" w:type="dxa"/>
            <w:left w:w="108" w:type="dxa"/>
            <w:bottom w:w="0" w:type="dxa"/>
            <w:right w:w="108" w:type="dxa"/>
          </w:tblCellMar>
        </w:tblPrEx>
        <w:trPr>
          <w:trHeight w:val="28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nil"/>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局放量</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pC</w:t>
            </w:r>
          </w:p>
        </w:tc>
      </w:tr>
      <w:tr>
        <w:tblPrEx>
          <w:tblCellMar>
            <w:top w:w="0" w:type="dxa"/>
            <w:left w:w="108" w:type="dxa"/>
            <w:bottom w:w="0" w:type="dxa"/>
            <w:right w:w="108" w:type="dxa"/>
          </w:tblCellMar>
        </w:tblPrEx>
        <w:trPr>
          <w:trHeight w:val="28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nil"/>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试验电压</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kV</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nil"/>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时间</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h</w:t>
            </w:r>
          </w:p>
        </w:tc>
      </w:tr>
      <w:tr>
        <w:tblPrEx>
          <w:tblCellMar>
            <w:top w:w="0" w:type="dxa"/>
            <w:left w:w="108" w:type="dxa"/>
            <w:bottom w:w="0" w:type="dxa"/>
            <w:right w:w="108" w:type="dxa"/>
          </w:tblCellMar>
        </w:tblPrEx>
        <w:trPr>
          <w:trHeight w:val="280"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15</w:t>
            </w:r>
          </w:p>
        </w:tc>
        <w:tc>
          <w:tcPr>
            <w:tcW w:w="1870" w:type="dxa"/>
            <w:vMerge w:val="restart"/>
            <w:tcBorders>
              <w:top w:val="single" w:color="000000" w:sz="4" w:space="0"/>
              <w:left w:val="nil"/>
              <w:bottom w:val="nil"/>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工频耐压和局部放电成套试验装置</w:t>
            </w:r>
          </w:p>
        </w:tc>
        <w:tc>
          <w:tcPr>
            <w:tcW w:w="736" w:type="dxa"/>
            <w:vMerge w:val="restart"/>
            <w:tcBorders>
              <w:top w:val="single" w:color="000000" w:sz="4" w:space="0"/>
              <w:left w:val="single" w:color="000000" w:sz="4" w:space="0"/>
              <w:bottom w:val="nil"/>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vMerge w:val="restart"/>
            <w:tcBorders>
              <w:top w:val="single" w:color="000000" w:sz="4" w:space="0"/>
              <w:left w:val="single" w:color="000000" w:sz="4" w:space="0"/>
              <w:bottom w:val="nil"/>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XZL-42000kVA/3*350kV</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背景</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pC</w:t>
            </w:r>
          </w:p>
        </w:tc>
      </w:tr>
      <w:tr>
        <w:tblPrEx>
          <w:tblCellMar>
            <w:top w:w="0" w:type="dxa"/>
            <w:left w:w="108" w:type="dxa"/>
            <w:bottom w:w="0" w:type="dxa"/>
            <w:right w:w="108" w:type="dxa"/>
          </w:tblCellMar>
        </w:tblPrEx>
        <w:trPr>
          <w:trHeight w:val="28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nil"/>
              <w:bottom w:val="nil"/>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nil"/>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nil"/>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局放量</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pC</w:t>
            </w:r>
          </w:p>
        </w:tc>
      </w:tr>
      <w:tr>
        <w:tblPrEx>
          <w:tblCellMar>
            <w:top w:w="0" w:type="dxa"/>
            <w:left w:w="108" w:type="dxa"/>
            <w:bottom w:w="0" w:type="dxa"/>
            <w:right w:w="108" w:type="dxa"/>
          </w:tblCellMar>
        </w:tblPrEx>
        <w:trPr>
          <w:trHeight w:val="28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nil"/>
              <w:bottom w:val="nil"/>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nil"/>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nil"/>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试验电压</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sz w:val="22"/>
                <w:szCs w:val="22"/>
              </w:rPr>
            </w:pPr>
            <w:r>
              <w:rPr>
                <w:rFonts w:hint="eastAsia" w:ascii="宋体" w:hAnsi="宋体" w:cs="宋体"/>
                <w:color w:val="000000"/>
                <w:kern w:val="0"/>
                <w:sz w:val="22"/>
                <w:szCs w:val="22"/>
                <w:lang w:bidi="ar"/>
              </w:rPr>
              <w:t>kV</w:t>
            </w:r>
          </w:p>
        </w:tc>
      </w:tr>
      <w:tr>
        <w:tblPrEx>
          <w:tblCellMar>
            <w:top w:w="0" w:type="dxa"/>
            <w:left w:w="108" w:type="dxa"/>
            <w:bottom w:w="0" w:type="dxa"/>
            <w:right w:w="108" w:type="dxa"/>
          </w:tblCellMar>
        </w:tblPrEx>
        <w:trPr>
          <w:trHeight w:val="26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nil"/>
              <w:bottom w:val="nil"/>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nil"/>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nil"/>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时间</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h</w:t>
            </w:r>
          </w:p>
        </w:tc>
      </w:tr>
      <w:tr>
        <w:tblPrEx>
          <w:tblCellMar>
            <w:top w:w="0" w:type="dxa"/>
            <w:left w:w="108" w:type="dxa"/>
            <w:bottom w:w="0" w:type="dxa"/>
            <w:right w:w="108" w:type="dxa"/>
          </w:tblCellMar>
        </w:tblPrEx>
        <w:trPr>
          <w:trHeight w:val="520" w:hRule="atLeast"/>
          <w:jc w:val="center"/>
        </w:trPr>
        <w:tc>
          <w:tcPr>
            <w:tcW w:w="68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16</w:t>
            </w:r>
          </w:p>
        </w:tc>
        <w:tc>
          <w:tcPr>
            <w:tcW w:w="187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张力弯曲试验设备</w:t>
            </w:r>
          </w:p>
        </w:tc>
        <w:tc>
          <w:tcPr>
            <w:tcW w:w="73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204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RE-8100-WL</w:t>
            </w: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拉力：最大力</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N</w:t>
            </w:r>
          </w:p>
        </w:tc>
      </w:tr>
      <w:tr>
        <w:tblPrEx>
          <w:tblCellMar>
            <w:top w:w="0" w:type="dxa"/>
            <w:left w:w="108" w:type="dxa"/>
            <w:bottom w:w="0" w:type="dxa"/>
            <w:right w:w="108" w:type="dxa"/>
          </w:tblCellMar>
        </w:tblPrEx>
        <w:trPr>
          <w:trHeight w:val="5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弯曲：弯曲次数</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次</w:t>
            </w:r>
          </w:p>
        </w:tc>
      </w:tr>
      <w:tr>
        <w:tblPrEx>
          <w:tblCellMar>
            <w:top w:w="0" w:type="dxa"/>
            <w:left w:w="108" w:type="dxa"/>
            <w:bottom w:w="0" w:type="dxa"/>
            <w:right w:w="108" w:type="dxa"/>
          </w:tblCellMar>
        </w:tblPrEx>
        <w:trPr>
          <w:trHeight w:val="520"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弯曲：弯曲半径</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mm</w:t>
            </w:r>
          </w:p>
        </w:tc>
      </w:tr>
      <w:tr>
        <w:tblPrEx>
          <w:tblCellMar>
            <w:top w:w="0" w:type="dxa"/>
            <w:left w:w="108" w:type="dxa"/>
            <w:bottom w:w="0" w:type="dxa"/>
            <w:right w:w="108" w:type="dxa"/>
          </w:tblCellMar>
        </w:tblPrEx>
        <w:trPr>
          <w:trHeight w:val="348" w:hRule="atLeast"/>
          <w:jc w:val="center"/>
        </w:trPr>
        <w:tc>
          <w:tcPr>
            <w:tcW w:w="68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87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73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204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sz w:val="20"/>
                <w:szCs w:val="20"/>
              </w:rPr>
            </w:pPr>
          </w:p>
        </w:tc>
        <w:tc>
          <w:tcPr>
            <w:tcW w:w="195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弯曲：试验力</w:t>
            </w:r>
          </w:p>
        </w:tc>
        <w:tc>
          <w:tcPr>
            <w:tcW w:w="93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N</w:t>
            </w:r>
          </w:p>
        </w:tc>
      </w:tr>
    </w:tbl>
    <w:p>
      <w:pPr>
        <w:spacing w:line="360" w:lineRule="auto"/>
        <w:rPr>
          <w:rFonts w:hint="eastAsia" w:ascii="宋体" w:hAnsi="宋体" w:cs="宋体"/>
          <w:sz w:val="20"/>
          <w:szCs w:val="20"/>
        </w:rPr>
      </w:pPr>
      <w:r>
        <w:rPr>
          <w:rFonts w:hint="eastAsia" w:ascii="宋体" w:hAnsi="宋体" w:cs="宋体"/>
          <w:sz w:val="20"/>
          <w:szCs w:val="20"/>
        </w:rPr>
        <w:t>备注：目前海缆共7类、20台检测设备需接入LIMS系统。考虑后期实验室，建议预留一定的接入数量冗余。</w:t>
      </w:r>
    </w:p>
    <w:p>
      <w:pPr>
        <w:spacing w:line="360" w:lineRule="auto"/>
        <w:ind w:firstLine="480" w:firstLineChars="200"/>
        <w:rPr>
          <w:rFonts w:hint="eastAsia" w:ascii="宋体" w:hAnsi="宋体" w:cs="宋体"/>
          <w:sz w:val="24"/>
        </w:rPr>
      </w:pPr>
      <w:r>
        <w:rPr>
          <w:rFonts w:hint="eastAsia" w:ascii="宋体" w:hAnsi="宋体" w:cs="宋体"/>
          <w:sz w:val="24"/>
        </w:rPr>
        <w:t>以上是初步统计，实际情况以现场勘察为准。</w:t>
      </w:r>
    </w:p>
    <w:p>
      <w:pPr>
        <w:spacing w:line="360" w:lineRule="auto"/>
        <w:outlineLvl w:val="0"/>
        <w:rPr>
          <w:rFonts w:hint="eastAsia" w:ascii="宋体" w:hAnsi="宋体" w:cs="宋体"/>
          <w:sz w:val="24"/>
        </w:rPr>
      </w:pPr>
      <w:r>
        <w:rPr>
          <w:rFonts w:hint="eastAsia" w:ascii="宋体" w:hAnsi="宋体" w:cs="宋体"/>
          <w:sz w:val="24"/>
        </w:rPr>
        <w:br w:type="page"/>
      </w:r>
      <w:bookmarkStart w:id="187" w:name="_Toc202442860"/>
      <w:r>
        <w:rPr>
          <w:rFonts w:hint="eastAsia" w:ascii="宋体" w:hAnsi="宋体" w:cs="宋体"/>
          <w:b/>
          <w:bCs/>
          <w:sz w:val="24"/>
        </w:rPr>
        <w:t>附件二 总体功能要求</w:t>
      </w:r>
      <w:bookmarkEnd w:id="187"/>
    </w:p>
    <w:tbl>
      <w:tblPr>
        <w:tblStyle w:val="19"/>
        <w:tblW w:w="4884" w:type="pct"/>
        <w:tblInd w:w="0" w:type="dxa"/>
        <w:tblLayout w:type="autofit"/>
        <w:tblCellMar>
          <w:top w:w="0" w:type="dxa"/>
          <w:left w:w="108" w:type="dxa"/>
          <w:bottom w:w="0" w:type="dxa"/>
          <w:right w:w="108" w:type="dxa"/>
        </w:tblCellMar>
      </w:tblPr>
      <w:tblGrid>
        <w:gridCol w:w="2092"/>
        <w:gridCol w:w="6924"/>
      </w:tblGrid>
      <w:tr>
        <w:tblPrEx>
          <w:tblCellMar>
            <w:top w:w="0" w:type="dxa"/>
            <w:left w:w="108" w:type="dxa"/>
            <w:bottom w:w="0" w:type="dxa"/>
            <w:right w:w="108" w:type="dxa"/>
          </w:tblCellMar>
        </w:tblPrEx>
        <w:trPr>
          <w:trHeight w:val="29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hint="eastAsia" w:ascii="仿宋" w:hAnsi="仿宋" w:eastAsia="仿宋" w:cs="仿宋"/>
                <w:b/>
                <w:bCs/>
                <w:color w:val="000000"/>
                <w:sz w:val="22"/>
                <w:szCs w:val="22"/>
              </w:rPr>
            </w:pPr>
            <w:r>
              <w:rPr>
                <w:rFonts w:hint="eastAsia" w:ascii="仿宋" w:hAnsi="仿宋" w:eastAsia="仿宋" w:cs="仿宋"/>
                <w:b/>
                <w:bCs/>
                <w:color w:val="000000"/>
                <w:kern w:val="0"/>
                <w:sz w:val="22"/>
                <w:szCs w:val="22"/>
                <w:lang w:bidi="ar"/>
              </w:rPr>
              <w:t>功能名称</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center"/>
              <w:textAlignment w:val="bottom"/>
              <w:rPr>
                <w:rFonts w:hint="eastAsia" w:ascii="仿宋" w:hAnsi="仿宋" w:eastAsia="仿宋" w:cs="仿宋"/>
                <w:b/>
                <w:bCs/>
                <w:color w:val="000000"/>
                <w:sz w:val="22"/>
                <w:szCs w:val="22"/>
              </w:rPr>
            </w:pPr>
            <w:r>
              <w:rPr>
                <w:rFonts w:hint="eastAsia" w:ascii="仿宋" w:hAnsi="仿宋" w:eastAsia="仿宋" w:cs="仿宋"/>
                <w:b/>
                <w:bCs/>
                <w:color w:val="000000"/>
                <w:kern w:val="0"/>
                <w:sz w:val="22"/>
                <w:szCs w:val="22"/>
                <w:lang w:bidi="ar"/>
              </w:rPr>
              <w:t>功能简介</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用户信息管理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新用户注册及账户管理</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网上委托申请</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委托申请方在此系统上进行委托任务登记，较LIMS请验更清晰简洁</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在线查看委托单进度</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委托方在线查询委托的检测进度</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在线下载测试报告</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在线下载已批准的检测报告</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在线填写满意度调查</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在线填写满意度调查</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在线查看试验能力</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在线查询实验室的试验项目能力</w:t>
            </w:r>
          </w:p>
        </w:tc>
      </w:tr>
      <w:tr>
        <w:tblPrEx>
          <w:tblCellMar>
            <w:top w:w="0" w:type="dxa"/>
            <w:left w:w="108" w:type="dxa"/>
            <w:bottom w:w="0" w:type="dxa"/>
            <w:right w:w="108" w:type="dxa"/>
          </w:tblCellMar>
        </w:tblPrEx>
        <w:trPr>
          <w:trHeight w:val="52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研发项目管理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建立项目管理，关联合同，可在项目下建立多个委托，可将委托关联至项目，根据项目查看委托费用、执行进度</w:t>
            </w:r>
          </w:p>
        </w:tc>
      </w:tr>
      <w:tr>
        <w:tblPrEx>
          <w:tblCellMar>
            <w:top w:w="0" w:type="dxa"/>
            <w:left w:w="108" w:type="dxa"/>
            <w:bottom w:w="0" w:type="dxa"/>
            <w:right w:w="108" w:type="dxa"/>
          </w:tblCellMar>
        </w:tblPrEx>
        <w:trPr>
          <w:trHeight w:val="104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试验委托申请</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登记委托相关信息，包括委托信息、样品信息、检测信息以及试验矩阵</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委托过程中可查看试验项目关联的机台排程情况。</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支持委托方设置定时任务，根据模板自动生成试验委托，带入模板中的试验项目与样品，并手动提交。</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委托评审</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对委托信息进行评审，确认是否具备试验能力，抄送相关人查阅</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成本核算</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根据基工时与单价费用维护与成本核算模型，自动计算本次委托的费用</w:t>
            </w:r>
          </w:p>
        </w:tc>
      </w:tr>
      <w:tr>
        <w:tblPrEx>
          <w:tblCellMar>
            <w:top w:w="0" w:type="dxa"/>
            <w:left w:w="108" w:type="dxa"/>
            <w:bottom w:w="0" w:type="dxa"/>
            <w:right w:w="108" w:type="dxa"/>
          </w:tblCellMar>
        </w:tblPrEx>
        <w:trPr>
          <w:trHeight w:val="52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样品接收和管理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进行样品接收工作，并打印样品条码（一维码、二维码）。</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支持委托方在委托环节打印样品标签。</w:t>
            </w:r>
          </w:p>
        </w:tc>
      </w:tr>
      <w:tr>
        <w:tblPrEx>
          <w:tblCellMar>
            <w:top w:w="0" w:type="dxa"/>
            <w:left w:w="108" w:type="dxa"/>
            <w:bottom w:w="0" w:type="dxa"/>
            <w:right w:w="108" w:type="dxa"/>
          </w:tblCellMar>
        </w:tblPrEx>
        <w:trPr>
          <w:trHeight w:val="78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进度管理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支持根据试验委托申请中各试验项目及工作节点生成可视化节点图，展示各节点预计开始结束时间及节点间间隔时间。工作节点存在非试验类型的工作，支持手动填报起止时间。</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任务分配</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按照试验申请需求，指派每个试验项目对应的工程师及协检人员。</w:t>
            </w:r>
          </w:p>
        </w:tc>
      </w:tr>
      <w:tr>
        <w:tblPrEx>
          <w:tblCellMar>
            <w:top w:w="0" w:type="dxa"/>
            <w:left w:w="108" w:type="dxa"/>
            <w:bottom w:w="0" w:type="dxa"/>
            <w:right w:w="108" w:type="dxa"/>
          </w:tblCellMar>
        </w:tblPrEx>
        <w:trPr>
          <w:trHeight w:val="78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结果录入</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试验序列管理，进行试验，并录入试验相关数据</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支持实验数据的结构化录入、Excel导入、批量快捷录入、线下记录拍照扫描上传、原始文件附件上传等多种方式。</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数据复核</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对试验数据进行审核、试验数据批准</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报告的自动生成</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检验报告按照报告模板自动生成</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报告审核与批准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检验报告的审核和批准</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报告发放</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报告发放过程管理、邮件发送等</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不合格处理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检测业务流程质量问题反馈、原因分析及整改处理</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报告/数据变更流程</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根据审批流程进行数据变更与报告变更</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委托方管理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管理委托方，台账信息、联系人信息等</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外包流程管理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试验外包管理流程</w:t>
            </w:r>
          </w:p>
        </w:tc>
      </w:tr>
      <w:tr>
        <w:tblPrEx>
          <w:tblCellMar>
            <w:top w:w="0" w:type="dxa"/>
            <w:left w:w="108" w:type="dxa"/>
            <w:bottom w:w="0" w:type="dxa"/>
            <w:right w:w="108" w:type="dxa"/>
          </w:tblCellMar>
        </w:tblPrEx>
        <w:trPr>
          <w:trHeight w:val="52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原始记录电子化</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试验原始记录的数据结构化存储，类excel操作，可见即所得，数据源双向绑定，支持导入word、excel、pdf格式模板直接配置试验原始记录模板或在线自定义编辑。</w:t>
            </w:r>
          </w:p>
        </w:tc>
      </w:tr>
      <w:tr>
        <w:tblPrEx>
          <w:tblCellMar>
            <w:top w:w="0" w:type="dxa"/>
            <w:left w:w="108" w:type="dxa"/>
            <w:bottom w:w="0" w:type="dxa"/>
            <w:right w:w="108" w:type="dxa"/>
          </w:tblCellMar>
        </w:tblPrEx>
        <w:trPr>
          <w:trHeight w:val="58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数据处理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支持可靠性实验等数据导入后进一步计算，生成计算结果与图形</w:t>
            </w:r>
          </w:p>
        </w:tc>
      </w:tr>
      <w:tr>
        <w:tblPrEx>
          <w:tblCellMar>
            <w:top w:w="0" w:type="dxa"/>
            <w:left w:w="108" w:type="dxa"/>
            <w:bottom w:w="0" w:type="dxa"/>
            <w:right w:w="108" w:type="dxa"/>
          </w:tblCellMar>
        </w:tblPrEx>
        <w:trPr>
          <w:trHeight w:val="78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报告管理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报告模板编辑、对结构化实验数据支持自动生成报告</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支持手动编辑报告上传及版本管理</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支持根据报告模板生成word、excel、PPT报告</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组织架构管理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管理使用系统的组织架构</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人员管理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管理人员的相关信息，包括培训计划、培训资料共享、上岗证</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排班计划</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支持管理人员值班情况、生成排班表</w:t>
            </w:r>
          </w:p>
        </w:tc>
      </w:tr>
      <w:tr>
        <w:tblPrEx>
          <w:tblCellMar>
            <w:top w:w="0" w:type="dxa"/>
            <w:left w:w="108" w:type="dxa"/>
            <w:bottom w:w="0" w:type="dxa"/>
            <w:right w:w="108" w:type="dxa"/>
          </w:tblCellMar>
        </w:tblPrEx>
        <w:trPr>
          <w:trHeight w:val="52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供应商管理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管理供应商的相关信息，以及供应商评价，支持供应商上传附件管理产品明细</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设备管理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设备相关管理，维修、保养、校准、量值溯源等管理</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工装夹治具管理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管理台账、借用、归还</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易耗品管理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实验室易耗品管理，出入库、低库存、有效期；</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试验方法管理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管理试验方法，以及查新提醒</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试验项目管理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管理试验项目，以及数据录入模版</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判定标准管理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管理判定值，与实验数据比对，输出判定结果至报告中</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文件管理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文件管理，包括：版本管理、发布审核管理、浏览权限</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环境管理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温度、湿度等环境参数管理</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设备数据采集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试验设备数据采集、在系统中显示及处理数据</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设备文件采集解析</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对设备试验数据文件进行采集，支持excel、图片、PDF等格式</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设备状态监控</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实现系统与仪器设备的互联互通，获取机台运行状态及异常数据。</w:t>
            </w:r>
          </w:p>
        </w:tc>
      </w:tr>
      <w:tr>
        <w:tblPrEx>
          <w:tblCellMar>
            <w:top w:w="0" w:type="dxa"/>
            <w:left w:w="108" w:type="dxa"/>
            <w:bottom w:w="0" w:type="dxa"/>
            <w:right w:w="108" w:type="dxa"/>
          </w:tblCellMar>
        </w:tblPrEx>
        <w:trPr>
          <w:trHeight w:val="52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设备排程</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对任务进行设备排程，对于实际上下机时间导致的延后，需进行提醒及延后排程。支持手动调整排程。</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设备排程看板</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设备试验情况图形化展示</w:t>
            </w:r>
          </w:p>
        </w:tc>
      </w:tr>
      <w:tr>
        <w:tblPrEx>
          <w:tblCellMar>
            <w:top w:w="0" w:type="dxa"/>
            <w:left w:w="108" w:type="dxa"/>
            <w:bottom w:w="0" w:type="dxa"/>
            <w:right w:w="108" w:type="dxa"/>
          </w:tblCellMar>
        </w:tblPrEx>
        <w:trPr>
          <w:trHeight w:val="52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设备预约</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手动预约试验设备的使用时间，不关联试验任务。预约信息展示在排程看板中。</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内审和管理评审</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内审、管理评审包括计划和实施</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质量监督与控制</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质量监督流程管理，包括计划和实施</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申投诉</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客户申投诉的管理流程</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不符合项管理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不符合项登记</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纠正预防改进</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对实验室不符合项进行纠正预防</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期间核查管理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设备期间核查管理流程</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能力验证管理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能力验证管理流程</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新工作评审管理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新工作评审工作流程</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外审管理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提供外审资料的集中管理</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风险机遇管理</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对实验室风险机遇信息进行管理</w:t>
            </w:r>
          </w:p>
        </w:tc>
      </w:tr>
      <w:tr>
        <w:tblPrEx>
          <w:tblCellMar>
            <w:top w:w="0" w:type="dxa"/>
            <w:left w:w="108" w:type="dxa"/>
            <w:bottom w:w="0" w:type="dxa"/>
            <w:right w:w="108" w:type="dxa"/>
          </w:tblCellMar>
        </w:tblPrEx>
        <w:trPr>
          <w:trHeight w:val="260" w:hRule="atLeast"/>
        </w:trPr>
        <w:tc>
          <w:tcPr>
            <w:tcW w:w="1160" w:type="pct"/>
            <w:vMerge w:val="restar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系统集成</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身份验证平台：单点登录</w:t>
            </w:r>
          </w:p>
        </w:tc>
      </w:tr>
      <w:tr>
        <w:tblPrEx>
          <w:tblCellMar>
            <w:top w:w="0" w:type="dxa"/>
            <w:left w:w="108" w:type="dxa"/>
            <w:bottom w:w="0" w:type="dxa"/>
            <w:right w:w="108" w:type="dxa"/>
          </w:tblCellMar>
        </w:tblPrEx>
        <w:trPr>
          <w:trHeight w:val="260" w:hRule="atLeast"/>
        </w:trPr>
        <w:tc>
          <w:tcPr>
            <w:tcW w:w="1160" w:type="pct"/>
            <w:vMerge w:val="continue"/>
            <w:tcBorders>
              <w:top w:val="single" w:color="auto" w:sz="4" w:space="0"/>
              <w:left w:val="single" w:color="auto" w:sz="4" w:space="0"/>
              <w:bottom w:val="single" w:color="auto" w:sz="4" w:space="0"/>
              <w:right w:val="single" w:color="auto" w:sz="4" w:space="0"/>
            </w:tcBorders>
            <w:vAlign w:val="center"/>
          </w:tcPr>
          <w:p>
            <w:pPr>
              <w:jc w:val="left"/>
              <w:rPr>
                <w:rFonts w:hint="eastAsia" w:ascii="仿宋" w:hAnsi="仿宋" w:eastAsia="仿宋" w:cs="仿宋"/>
                <w:color w:val="000000"/>
                <w:sz w:val="20"/>
                <w:szCs w:val="20"/>
              </w:rPr>
            </w:pP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OA：审批流程、消息提醒</w:t>
            </w:r>
          </w:p>
        </w:tc>
      </w:tr>
      <w:tr>
        <w:tblPrEx>
          <w:tblCellMar>
            <w:top w:w="0" w:type="dxa"/>
            <w:left w:w="108" w:type="dxa"/>
            <w:bottom w:w="0" w:type="dxa"/>
            <w:right w:w="108" w:type="dxa"/>
          </w:tblCellMar>
        </w:tblPrEx>
        <w:trPr>
          <w:trHeight w:val="260" w:hRule="atLeast"/>
        </w:trPr>
        <w:tc>
          <w:tcPr>
            <w:tcW w:w="1160" w:type="pct"/>
            <w:vMerge w:val="continue"/>
            <w:tcBorders>
              <w:top w:val="single" w:color="auto" w:sz="4" w:space="0"/>
              <w:left w:val="single" w:color="auto" w:sz="4" w:space="0"/>
              <w:bottom w:val="single" w:color="auto" w:sz="4" w:space="0"/>
              <w:right w:val="single" w:color="auto" w:sz="4" w:space="0"/>
            </w:tcBorders>
            <w:vAlign w:val="center"/>
          </w:tcPr>
          <w:p>
            <w:pPr>
              <w:jc w:val="left"/>
              <w:rPr>
                <w:rFonts w:hint="eastAsia" w:ascii="仿宋" w:hAnsi="仿宋" w:eastAsia="仿宋" w:cs="仿宋"/>
                <w:color w:val="000000"/>
                <w:sz w:val="20"/>
                <w:szCs w:val="20"/>
              </w:rPr>
            </w:pP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企业钉钉：单点登录、消息提醒、审批流程</w:t>
            </w:r>
          </w:p>
        </w:tc>
      </w:tr>
      <w:tr>
        <w:tblPrEx>
          <w:tblCellMar>
            <w:top w:w="0" w:type="dxa"/>
            <w:left w:w="108" w:type="dxa"/>
            <w:bottom w:w="0" w:type="dxa"/>
            <w:right w:w="108" w:type="dxa"/>
          </w:tblCellMar>
        </w:tblPrEx>
        <w:trPr>
          <w:trHeight w:val="260" w:hRule="atLeast"/>
        </w:trPr>
        <w:tc>
          <w:tcPr>
            <w:tcW w:w="1160" w:type="pct"/>
            <w:vMerge w:val="continue"/>
            <w:tcBorders>
              <w:top w:val="single" w:color="auto" w:sz="4" w:space="0"/>
              <w:left w:val="single" w:color="auto" w:sz="4" w:space="0"/>
              <w:bottom w:val="single" w:color="auto" w:sz="4" w:space="0"/>
              <w:right w:val="single" w:color="auto" w:sz="4" w:space="0"/>
            </w:tcBorders>
            <w:vAlign w:val="center"/>
          </w:tcPr>
          <w:p>
            <w:pPr>
              <w:jc w:val="left"/>
              <w:rPr>
                <w:rFonts w:hint="eastAsia" w:ascii="仿宋" w:hAnsi="仿宋" w:eastAsia="仿宋" w:cs="仿宋"/>
                <w:color w:val="000000"/>
                <w:sz w:val="20"/>
                <w:szCs w:val="20"/>
              </w:rPr>
            </w:pP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ERP/EAM等：物料、仪器主数据</w:t>
            </w:r>
          </w:p>
        </w:tc>
      </w:tr>
      <w:tr>
        <w:tblPrEx>
          <w:tblCellMar>
            <w:top w:w="0" w:type="dxa"/>
            <w:left w:w="108" w:type="dxa"/>
            <w:bottom w:w="0" w:type="dxa"/>
            <w:right w:w="108" w:type="dxa"/>
          </w:tblCellMar>
        </w:tblPrEx>
        <w:trPr>
          <w:trHeight w:val="260" w:hRule="atLeast"/>
        </w:trPr>
        <w:tc>
          <w:tcPr>
            <w:tcW w:w="1160" w:type="pct"/>
            <w:vMerge w:val="continue"/>
            <w:tcBorders>
              <w:top w:val="single" w:color="auto" w:sz="4" w:space="0"/>
              <w:left w:val="single" w:color="auto" w:sz="4" w:space="0"/>
              <w:bottom w:val="single" w:color="auto" w:sz="4" w:space="0"/>
              <w:right w:val="single" w:color="auto" w:sz="4" w:space="0"/>
            </w:tcBorders>
            <w:vAlign w:val="center"/>
          </w:tcPr>
          <w:p>
            <w:pPr>
              <w:jc w:val="left"/>
              <w:rPr>
                <w:rFonts w:hint="eastAsia" w:ascii="仿宋" w:hAnsi="仿宋" w:eastAsia="仿宋" w:cs="仿宋"/>
                <w:color w:val="000000"/>
                <w:sz w:val="20"/>
                <w:szCs w:val="20"/>
              </w:rPr>
            </w:pP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其他信息系统：EMS、QMS等</w:t>
            </w:r>
          </w:p>
        </w:tc>
      </w:tr>
      <w:tr>
        <w:tblPrEx>
          <w:tblCellMar>
            <w:top w:w="0" w:type="dxa"/>
            <w:left w:w="108" w:type="dxa"/>
            <w:bottom w:w="0" w:type="dxa"/>
            <w:right w:w="108" w:type="dxa"/>
          </w:tblCellMar>
        </w:tblPrEx>
        <w:trPr>
          <w:trHeight w:val="104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统计分析</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委托分析：委托类型、委托单位、委托费用、分包费用</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人员分析：项目分配分析、人员工作量、</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实验数据：按机台、产品、项目等维度展示实验数据变化趋势</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等</w:t>
            </w:r>
          </w:p>
        </w:tc>
      </w:tr>
      <w:tr>
        <w:tblPrEx>
          <w:tblCellMar>
            <w:top w:w="0" w:type="dxa"/>
            <w:left w:w="108" w:type="dxa"/>
            <w:bottom w:w="0" w:type="dxa"/>
            <w:right w:w="108" w:type="dxa"/>
          </w:tblCellMar>
        </w:tblPrEx>
        <w:trPr>
          <w:trHeight w:val="2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委托方查询</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报告查询、试验进度查询、数据查询等</w:t>
            </w:r>
          </w:p>
        </w:tc>
      </w:tr>
      <w:tr>
        <w:tblPrEx>
          <w:tblCellMar>
            <w:top w:w="0" w:type="dxa"/>
            <w:left w:w="108" w:type="dxa"/>
            <w:bottom w:w="0" w:type="dxa"/>
            <w:right w:w="108" w:type="dxa"/>
          </w:tblCellMar>
        </w:tblPrEx>
        <w:trPr>
          <w:trHeight w:val="52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实验室查询</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检测进度图、排程看板、样品出入库记录、排班表、供应商产品文件、案件关键字查询等</w:t>
            </w:r>
          </w:p>
        </w:tc>
      </w:tr>
      <w:tr>
        <w:tblPrEx>
          <w:tblCellMar>
            <w:top w:w="0" w:type="dxa"/>
            <w:left w:w="108" w:type="dxa"/>
            <w:bottom w:w="0" w:type="dxa"/>
            <w:right w:w="108" w:type="dxa"/>
          </w:tblCellMar>
        </w:tblPrEx>
        <w:trPr>
          <w:trHeight w:val="460" w:hRule="atLeast"/>
        </w:trPr>
        <w:tc>
          <w:tcPr>
            <w:tcW w:w="1160"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大屏看板</w:t>
            </w:r>
          </w:p>
        </w:tc>
        <w:tc>
          <w:tcPr>
            <w:tcW w:w="3839" w:type="pct"/>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hint="eastAsia" w:ascii="仿宋" w:hAnsi="仿宋" w:eastAsia="仿宋" w:cs="仿宋"/>
                <w:color w:val="000000"/>
                <w:sz w:val="20"/>
                <w:szCs w:val="20"/>
              </w:rPr>
            </w:pPr>
            <w:r>
              <w:rPr>
                <w:rFonts w:hint="eastAsia" w:ascii="仿宋" w:hAnsi="仿宋" w:eastAsia="仿宋" w:cs="仿宋"/>
                <w:color w:val="000000"/>
                <w:kern w:val="0"/>
                <w:sz w:val="20"/>
                <w:szCs w:val="20"/>
                <w:lang w:bidi="ar"/>
              </w:rPr>
              <w:t>支持低代码灵活配置各指标图表并形成数据看板，定制大屏可视化展示图，展示检测执行情况、设备运行情况、排程看板、环境监控数据，</w:t>
            </w:r>
          </w:p>
        </w:tc>
      </w:tr>
    </w:tbl>
    <w:p>
      <w:pPr>
        <w:spacing w:line="360" w:lineRule="auto"/>
        <w:rPr>
          <w:rFonts w:hint="eastAsia" w:ascii="宋体" w:hAnsi="宋体"/>
          <w:b/>
          <w:bCs/>
          <w:sz w:val="32"/>
          <w:szCs w:val="32"/>
        </w:rPr>
      </w:pPr>
    </w:p>
    <w:p>
      <w:pPr>
        <w:tabs>
          <w:tab w:val="left" w:pos="0"/>
        </w:tabs>
        <w:spacing w:line="360" w:lineRule="auto"/>
        <w:rPr>
          <w:rFonts w:hint="eastAsia" w:ascii="宋体" w:hAnsi="宋体" w:cs="宋体"/>
          <w:sz w:val="24"/>
        </w:rPr>
      </w:pPr>
    </w:p>
    <w:bookmarkEnd w:id="84"/>
    <w:p>
      <w:pPr>
        <w:pStyle w:val="3"/>
        <w:rPr>
          <w:rFonts w:hint="eastAsia"/>
        </w:rPr>
      </w:pPr>
      <w:bookmarkStart w:id="188" w:name="_Toc202442861"/>
      <w:r>
        <w:rPr>
          <w:rFonts w:hint="eastAsia"/>
        </w:rPr>
        <w:t>八 实施计划</w:t>
      </w:r>
      <w:bookmarkEnd w:id="188"/>
    </w:p>
    <w:p>
      <w:pPr>
        <w:spacing w:line="360" w:lineRule="auto"/>
        <w:ind w:firstLine="42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招投标：2025年7月30日</w:t>
      </w:r>
    </w:p>
    <w:p>
      <w:pPr>
        <w:spacing w:line="360" w:lineRule="auto"/>
        <w:ind w:firstLine="42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系统上线： 2025年8月31日</w:t>
      </w:r>
    </w:p>
    <w:p>
      <w:pPr>
        <w:spacing w:line="360" w:lineRule="auto"/>
        <w:ind w:firstLine="420"/>
        <w:rPr>
          <w:rFonts w:hint="eastAsia" w:ascii="仿宋" w:hAnsi="仿宋" w:eastAsia="仿宋"/>
          <w:color w:val="000000" w:themeColor="text1"/>
          <w:sz w:val="24"/>
          <w14:textFill>
            <w14:solidFill>
              <w14:schemeClr w14:val="tx1"/>
            </w14:solidFill>
          </w14:textFill>
        </w:rPr>
      </w:pPr>
      <w:r>
        <w:rPr>
          <w:rFonts w:hint="eastAsia" w:ascii="仿宋" w:hAnsi="仿宋" w:eastAsia="仿宋"/>
          <w:color w:val="000000" w:themeColor="text1"/>
          <w:sz w:val="24"/>
          <w14:textFill>
            <w14:solidFill>
              <w14:schemeClr w14:val="tx1"/>
            </w14:solidFill>
          </w14:textFill>
        </w:rPr>
        <w:t>项目验收： 2025年9月30日</w:t>
      </w:r>
    </w:p>
    <w:p>
      <w:pPr>
        <w:widowControl/>
        <w:spacing w:beforeAutospacing="1" w:afterAutospacing="1" w:line="360" w:lineRule="auto"/>
        <w:jc w:val="left"/>
        <w:rPr>
          <w:rFonts w:hint="eastAsia" w:ascii="仿宋" w:hAnsi="仿宋" w:eastAsia="仿宋"/>
          <w:sz w:val="24"/>
        </w:rPr>
        <w:sectPr>
          <w:headerReference r:id="rId3" w:type="default"/>
          <w:footerReference r:id="rId4" w:type="default"/>
          <w:pgSz w:w="11906" w:h="16838"/>
          <w:pgMar w:top="1701" w:right="1304" w:bottom="1701" w:left="1588" w:header="851" w:footer="992" w:gutter="0"/>
          <w:cols w:space="720" w:num="1"/>
          <w:titlePg/>
          <w:docGrid w:type="lines" w:linePitch="312" w:charSpace="0"/>
        </w:sectPr>
      </w:pPr>
    </w:p>
    <w:p>
      <w:pPr>
        <w:pStyle w:val="3"/>
        <w:rPr>
          <w:rFonts w:hint="eastAsia"/>
        </w:rPr>
      </w:pPr>
      <w:bookmarkStart w:id="189" w:name="_Toc32874344"/>
      <w:bookmarkStart w:id="190" w:name="_Toc51925566"/>
      <w:bookmarkStart w:id="191" w:name="_Toc51926446"/>
      <w:bookmarkStart w:id="192" w:name="_Toc202442862"/>
      <w:r>
        <w:rPr>
          <w:rFonts w:hint="eastAsia"/>
        </w:rPr>
        <w:t>九 投标说明</w:t>
      </w:r>
      <w:bookmarkEnd w:id="189"/>
      <w:bookmarkEnd w:id="190"/>
      <w:bookmarkEnd w:id="191"/>
      <w:bookmarkEnd w:id="192"/>
    </w:p>
    <w:p>
      <w:pPr>
        <w:pStyle w:val="30"/>
        <w:numPr>
          <w:ilvl w:val="1"/>
          <w:numId w:val="9"/>
        </w:numPr>
        <w:ind w:left="1260"/>
        <w:rPr>
          <w:rFonts w:hint="eastAsia" w:ascii="仿宋" w:hAnsi="仿宋" w:eastAsia="仿宋"/>
          <w:sz w:val="24"/>
          <w:highlight w:val="yellow"/>
        </w:rPr>
      </w:pPr>
      <w:bookmarkStart w:id="193" w:name="_Toc195601358"/>
      <w:bookmarkStart w:id="194" w:name="_Toc464051068"/>
      <w:bookmarkStart w:id="195" w:name="_Toc414690321"/>
      <w:bookmarkStart w:id="196" w:name="_Toc202442863"/>
      <w:bookmarkStart w:id="197" w:name="_Toc51926447"/>
      <w:bookmarkStart w:id="198" w:name="_Toc32874345"/>
      <w:bookmarkStart w:id="199" w:name="_Toc414690319"/>
      <w:r>
        <w:rPr>
          <w:rFonts w:hint="eastAsia" w:ascii="仿宋" w:hAnsi="仿宋" w:eastAsia="仿宋"/>
          <w:sz w:val="24"/>
          <w:highlight w:val="yellow"/>
        </w:rPr>
        <w:t>供应商要求</w:t>
      </w:r>
      <w:bookmarkEnd w:id="193"/>
      <w:bookmarkEnd w:id="194"/>
      <w:bookmarkEnd w:id="195"/>
      <w:bookmarkEnd w:id="196"/>
      <w:bookmarkEnd w:id="197"/>
      <w:bookmarkEnd w:id="198"/>
    </w:p>
    <w:p>
      <w:pPr>
        <w:pStyle w:val="30"/>
        <w:numPr>
          <w:ilvl w:val="0"/>
          <w:numId w:val="0"/>
        </w:numPr>
        <w:spacing w:before="0" w:after="0"/>
        <w:ind w:left="576"/>
        <w:rPr>
          <w:rFonts w:hint="eastAsia" w:ascii="仿宋" w:hAnsi="仿宋" w:eastAsia="仿宋"/>
          <w:b w:val="0"/>
          <w:kern w:val="2"/>
          <w:sz w:val="24"/>
        </w:rPr>
      </w:pPr>
      <w:bookmarkStart w:id="200" w:name="_Toc195601359"/>
      <w:bookmarkStart w:id="201" w:name="_Toc202442864"/>
      <w:bookmarkStart w:id="202" w:name="_Toc32874346"/>
      <w:bookmarkStart w:id="203" w:name="_Toc51926448"/>
      <w:bookmarkStart w:id="204" w:name="_Toc464051069"/>
      <w:r>
        <w:rPr>
          <w:rFonts w:hint="eastAsia" w:ascii="仿宋" w:hAnsi="仿宋" w:eastAsia="仿宋"/>
          <w:b w:val="0"/>
          <w:kern w:val="2"/>
          <w:sz w:val="24"/>
        </w:rPr>
        <w:t>凡具有独立法人资格，能提供整个项目实施能力，且具有良好的商业信誉和较强的售后服务能力、同时满足以下条件的供应商均可参加：</w:t>
      </w:r>
      <w:bookmarkEnd w:id="200"/>
      <w:bookmarkEnd w:id="201"/>
    </w:p>
    <w:p>
      <w:pPr>
        <w:pStyle w:val="30"/>
        <w:numPr>
          <w:ilvl w:val="0"/>
          <w:numId w:val="0"/>
        </w:numPr>
        <w:spacing w:before="0" w:after="0"/>
        <w:ind w:left="576"/>
        <w:rPr>
          <w:rFonts w:hint="eastAsia" w:ascii="仿宋" w:hAnsi="仿宋" w:eastAsia="仿宋"/>
          <w:b w:val="0"/>
          <w:kern w:val="2"/>
          <w:sz w:val="24"/>
        </w:rPr>
      </w:pPr>
      <w:bookmarkStart w:id="205" w:name="_Toc195601360"/>
      <w:bookmarkStart w:id="206" w:name="_Toc202442865"/>
      <w:r>
        <w:rPr>
          <w:rFonts w:hint="eastAsia" w:ascii="仿宋" w:hAnsi="仿宋" w:eastAsia="仿宋"/>
          <w:b w:val="0"/>
          <w:kern w:val="2"/>
          <w:sz w:val="24"/>
        </w:rPr>
        <w:t>①  投标方须是有能力根据本项目需求完成项目供货、安装与实施、独立承担民事等法律责任的法人或其他经济组织；</w:t>
      </w:r>
      <w:bookmarkEnd w:id="205"/>
      <w:bookmarkEnd w:id="206"/>
    </w:p>
    <w:p>
      <w:pPr>
        <w:pStyle w:val="30"/>
        <w:numPr>
          <w:ilvl w:val="0"/>
          <w:numId w:val="0"/>
        </w:numPr>
        <w:spacing w:before="0" w:after="0"/>
        <w:ind w:firstLine="600" w:firstLineChars="250"/>
        <w:rPr>
          <w:rFonts w:hint="eastAsia" w:ascii="仿宋" w:hAnsi="仿宋" w:eastAsia="仿宋"/>
          <w:b w:val="0"/>
          <w:kern w:val="2"/>
          <w:sz w:val="24"/>
        </w:rPr>
      </w:pPr>
      <w:bookmarkStart w:id="207" w:name="_Toc195601361"/>
      <w:bookmarkStart w:id="208" w:name="_Toc202442866"/>
      <w:r>
        <w:rPr>
          <w:rFonts w:hint="eastAsia" w:ascii="仿宋" w:hAnsi="仿宋" w:eastAsia="仿宋"/>
          <w:b w:val="0"/>
          <w:kern w:val="2"/>
          <w:sz w:val="24"/>
        </w:rPr>
        <w:t>②  投标方须两年内具有2例以上集团性实验室检量测设备数字化系统项目实施成功案例；</w:t>
      </w:r>
      <w:bookmarkEnd w:id="207"/>
      <w:bookmarkEnd w:id="208"/>
    </w:p>
    <w:p>
      <w:pPr>
        <w:pStyle w:val="30"/>
        <w:numPr>
          <w:ilvl w:val="0"/>
          <w:numId w:val="0"/>
        </w:numPr>
        <w:spacing w:before="0" w:after="0"/>
        <w:ind w:firstLine="600" w:firstLineChars="250"/>
        <w:rPr>
          <w:rFonts w:hint="eastAsia" w:ascii="仿宋" w:hAnsi="仿宋" w:eastAsia="仿宋"/>
          <w:b w:val="0"/>
          <w:kern w:val="2"/>
          <w:sz w:val="24"/>
        </w:rPr>
      </w:pPr>
      <w:bookmarkStart w:id="209" w:name="_Toc195601362"/>
      <w:bookmarkStart w:id="210" w:name="_Toc202442867"/>
      <w:r>
        <w:rPr>
          <w:rFonts w:hint="eastAsia" w:ascii="仿宋" w:hAnsi="仿宋" w:eastAsia="仿宋"/>
          <w:b w:val="0"/>
          <w:kern w:val="2"/>
          <w:sz w:val="24"/>
        </w:rPr>
        <w:t xml:space="preserve">③  </w:t>
      </w:r>
      <w:bookmarkEnd w:id="209"/>
      <w:bookmarkEnd w:id="210"/>
      <w:r>
        <w:rPr>
          <w:rFonts w:hint="eastAsia" w:ascii="仿宋" w:hAnsi="仿宋" w:eastAsia="仿宋"/>
          <w:b w:val="0"/>
          <w:kern w:val="2"/>
          <w:sz w:val="24"/>
        </w:rPr>
        <w:t>投标人必须是具有2年以上实验室数字化项目实施经验的公司，有稳定的、丰富的管理咨询和实施经验的管理咨询人员和实施技术人员。</w:t>
      </w:r>
    </w:p>
    <w:p>
      <w:pPr>
        <w:pStyle w:val="30"/>
        <w:numPr>
          <w:ilvl w:val="0"/>
          <w:numId w:val="0"/>
        </w:numPr>
        <w:spacing w:before="0" w:after="0"/>
        <w:ind w:firstLine="600" w:firstLineChars="250"/>
        <w:rPr>
          <w:rFonts w:hint="eastAsia" w:ascii="仿宋" w:hAnsi="仿宋" w:eastAsia="仿宋"/>
          <w:b w:val="0"/>
          <w:kern w:val="2"/>
          <w:sz w:val="24"/>
        </w:rPr>
      </w:pPr>
      <w:bookmarkStart w:id="211" w:name="_Toc195601363"/>
      <w:bookmarkStart w:id="212" w:name="_Toc202442868"/>
      <w:r>
        <w:rPr>
          <w:rFonts w:hint="eastAsia" w:ascii="仿宋" w:hAnsi="仿宋" w:eastAsia="仿宋"/>
          <w:b w:val="0"/>
          <w:kern w:val="2"/>
          <w:sz w:val="24"/>
        </w:rPr>
        <w:t>④  与本公司及其控股子公司无不良合作历史。</w:t>
      </w:r>
      <w:bookmarkEnd w:id="211"/>
      <w:bookmarkEnd w:id="212"/>
    </w:p>
    <w:p>
      <w:pPr>
        <w:pStyle w:val="30"/>
        <w:numPr>
          <w:ilvl w:val="0"/>
          <w:numId w:val="0"/>
        </w:numPr>
        <w:ind w:firstLine="480" w:firstLineChars="200"/>
        <w:rPr>
          <w:rFonts w:hint="eastAsia" w:ascii="仿宋" w:hAnsi="仿宋" w:eastAsia="仿宋"/>
          <w:sz w:val="24"/>
        </w:rPr>
      </w:pPr>
      <w:bookmarkStart w:id="213" w:name="_Toc202442869"/>
      <w:r>
        <w:rPr>
          <w:rFonts w:hint="eastAsia" w:ascii="仿宋" w:hAnsi="仿宋" w:eastAsia="仿宋"/>
          <w:sz w:val="24"/>
        </w:rPr>
        <w:t>投标须知</w:t>
      </w:r>
      <w:bookmarkEnd w:id="199"/>
      <w:bookmarkEnd w:id="202"/>
      <w:bookmarkEnd w:id="203"/>
      <w:bookmarkEnd w:id="204"/>
      <w:bookmarkEnd w:id="213"/>
    </w:p>
    <w:p>
      <w:pPr>
        <w:spacing w:line="360" w:lineRule="auto"/>
        <w:ind w:firstLine="424" w:firstLineChars="177"/>
        <w:rPr>
          <w:rFonts w:hint="eastAsia" w:ascii="仿宋" w:hAnsi="仿宋" w:eastAsia="仿宋"/>
          <w:sz w:val="24"/>
        </w:rPr>
      </w:pPr>
      <w:r>
        <w:rPr>
          <w:rFonts w:hint="eastAsia" w:ascii="仿宋" w:hAnsi="仿宋" w:eastAsia="仿宋"/>
          <w:sz w:val="24"/>
        </w:rPr>
        <w:t>本项目自评符合条件并有投标意向的供应商在收到我司招标文件后，须在</w:t>
      </w:r>
      <w:r>
        <w:rPr>
          <w:rFonts w:hint="eastAsia" w:ascii="仿宋" w:hAnsi="仿宋" w:eastAsia="仿宋"/>
          <w:b/>
          <w:sz w:val="24"/>
        </w:rPr>
        <w:t>1周内</w:t>
      </w:r>
      <w:r>
        <w:rPr>
          <w:rFonts w:hint="eastAsia" w:ascii="仿宋" w:hAnsi="仿宋" w:eastAsia="仿宋"/>
          <w:sz w:val="24"/>
        </w:rPr>
        <w:t>安排负责本次项目实施的项目组人员进行现场调研，逾期未调研的视为放弃投标。</w:t>
      </w:r>
    </w:p>
    <w:p>
      <w:pPr>
        <w:spacing w:line="360" w:lineRule="auto"/>
        <w:ind w:firstLine="424" w:firstLineChars="177"/>
        <w:rPr>
          <w:rFonts w:hint="eastAsia" w:ascii="仿宋" w:hAnsi="仿宋" w:eastAsia="仿宋"/>
          <w:sz w:val="24"/>
        </w:rPr>
      </w:pPr>
      <w:r>
        <w:rPr>
          <w:rFonts w:hint="eastAsia" w:ascii="仿宋" w:hAnsi="仿宋" w:eastAsia="仿宋"/>
          <w:sz w:val="24"/>
        </w:rPr>
        <w:t>为控制项目风险、保障项目顺利实施，在项目调研期间，项目经理视情况初审拟参与投标的供应商针对本项目的实施能力，初审定性为不合格则予以劝退。</w:t>
      </w:r>
    </w:p>
    <w:p>
      <w:pPr>
        <w:spacing w:line="360" w:lineRule="auto"/>
        <w:ind w:firstLine="424" w:firstLineChars="177"/>
        <w:rPr>
          <w:rFonts w:hint="eastAsia" w:ascii="仿宋" w:hAnsi="仿宋" w:eastAsia="仿宋"/>
          <w:sz w:val="24"/>
        </w:rPr>
      </w:pPr>
      <w:r>
        <w:rPr>
          <w:rFonts w:hint="eastAsia" w:ascii="仿宋" w:hAnsi="仿宋" w:eastAsia="仿宋"/>
          <w:sz w:val="24"/>
        </w:rPr>
        <w:t>另外，为保证项目方案的完整性，在投标准备或调研阶段，投标方有义务书面或邮件提出方案可行性意见及方案内容欠缺部分并要求我司修正。若在截止投标、投标结束宣布中标结果后或集成实施过程中，发现因调研不细致、方案不完整或不可行而导致项目停滞、需要增加其它资源投入等，由中标供应商承担后果或负责无偿提供所需资源。供应商不得在实施方案细节事先未知会或在未得到我司人员批准的情况下强行使用我司现有资源作为替代资源。</w:t>
      </w:r>
    </w:p>
    <w:p>
      <w:pPr>
        <w:spacing w:line="360" w:lineRule="auto"/>
        <w:rPr>
          <w:rFonts w:hint="eastAsia" w:ascii="仿宋" w:hAnsi="仿宋" w:eastAsia="仿宋"/>
          <w:sz w:val="24"/>
        </w:rPr>
      </w:pPr>
      <w:r>
        <w:rPr>
          <w:rFonts w:hint="eastAsia" w:ascii="仿宋" w:hAnsi="仿宋" w:eastAsia="仿宋"/>
          <w:b/>
          <w:sz w:val="24"/>
        </w:rPr>
        <w:t>重要提示：</w:t>
      </w:r>
      <w:r>
        <w:rPr>
          <w:rFonts w:hint="eastAsia" w:ascii="仿宋" w:hAnsi="仿宋" w:eastAsia="仿宋"/>
          <w:sz w:val="24"/>
        </w:rPr>
        <w:t>本项目实施严禁供应商分包。同时，由我司提供的公司介绍、项目背景、项目内容和项目计划等相关资料，被视为保密资料，仅被用于它所规定的用途，除非得到我司同意，不能向任何第三方透露，否则我司将保留采取法律措施的权利。</w:t>
      </w:r>
    </w:p>
    <w:p>
      <w:pPr>
        <w:spacing w:line="360" w:lineRule="auto"/>
        <w:rPr>
          <w:rFonts w:hint="eastAsia" w:ascii="仿宋" w:hAnsi="仿宋" w:eastAsia="仿宋"/>
          <w:sz w:val="24"/>
        </w:rPr>
      </w:pPr>
      <w:r>
        <w:rPr>
          <w:rFonts w:hint="eastAsia" w:ascii="仿宋" w:hAnsi="仿宋" w:eastAsia="仿宋"/>
          <w:sz w:val="24"/>
        </w:rPr>
        <w:t>根据我司《信息数字制度》相关规定,本项目属于实施类项目，投标方中标后，需单独根据RFP及招标、议标条款综合后形成最终版SOW并经甲乙双方共同认可后方可签订合同。最终版SOW是签订合同的必要条件。</w:t>
      </w:r>
    </w:p>
    <w:p>
      <w:pPr>
        <w:spacing w:line="360" w:lineRule="auto"/>
        <w:rPr>
          <w:rFonts w:hint="eastAsia" w:ascii="仿宋" w:hAnsi="仿宋" w:eastAsia="仿宋"/>
          <w:sz w:val="24"/>
        </w:rPr>
      </w:pPr>
      <w:r>
        <w:rPr>
          <w:rFonts w:hint="eastAsia" w:ascii="仿宋" w:hAnsi="仿宋" w:eastAsia="仿宋"/>
          <w:b/>
          <w:sz w:val="24"/>
        </w:rPr>
        <w:t>服务承诺：</w:t>
      </w:r>
      <w:r>
        <w:rPr>
          <w:rFonts w:hint="eastAsia" w:ascii="仿宋" w:hAnsi="仿宋" w:eastAsia="仿宋"/>
          <w:sz w:val="24"/>
        </w:rPr>
        <w:t>投标方中标后，在实施项目及服务期间，务必不可造成任何数据丢失、非计划性停机等恶性事件，每造成一次此类型事件，根据事件影响程度，最低扣减不少于</w:t>
      </w:r>
      <w:r>
        <w:rPr>
          <w:rFonts w:hint="eastAsia" w:ascii="仿宋" w:hAnsi="仿宋" w:eastAsia="仿宋"/>
          <w:b/>
          <w:sz w:val="24"/>
        </w:rPr>
        <w:t>5%</w:t>
      </w:r>
      <w:r>
        <w:rPr>
          <w:rFonts w:hint="eastAsia" w:ascii="仿宋" w:hAnsi="仿宋" w:eastAsia="仿宋"/>
          <w:sz w:val="24"/>
        </w:rPr>
        <w:t>项目合同总额。</w:t>
      </w:r>
    </w:p>
    <w:p>
      <w:pPr>
        <w:spacing w:line="360" w:lineRule="auto"/>
        <w:rPr>
          <w:rFonts w:hint="eastAsia" w:ascii="仿宋" w:hAnsi="仿宋" w:eastAsia="仿宋"/>
          <w:sz w:val="24"/>
        </w:rPr>
      </w:pPr>
      <w:r>
        <w:rPr>
          <w:rFonts w:hint="eastAsia" w:ascii="仿宋" w:hAnsi="仿宋" w:eastAsia="仿宋"/>
          <w:sz w:val="24"/>
        </w:rPr>
        <w:t>投标方须在投标书/报价书中明确承诺对本次项目具有实施能力并可满足本招标书中所描述的一切需求，中标后该承诺具备法律效力，无此承诺字样的视为无效投标。</w:t>
      </w:r>
    </w:p>
    <w:p>
      <w:pPr>
        <w:spacing w:line="360" w:lineRule="auto"/>
        <w:rPr>
          <w:rFonts w:hint="eastAsia" w:ascii="仿宋" w:hAnsi="仿宋" w:eastAsia="仿宋"/>
          <w:b/>
          <w:bCs/>
          <w:sz w:val="24"/>
        </w:rPr>
      </w:pPr>
      <w:r>
        <w:rPr>
          <w:rFonts w:hint="eastAsia" w:ascii="仿宋" w:hAnsi="仿宋" w:eastAsia="仿宋"/>
          <w:b/>
          <w:bCs/>
          <w:sz w:val="24"/>
        </w:rPr>
        <w:t>配件费用与实施费用分开报价。</w:t>
      </w:r>
    </w:p>
    <w:p>
      <w:pPr>
        <w:spacing w:line="360" w:lineRule="auto"/>
        <w:rPr>
          <w:rFonts w:hint="eastAsia" w:ascii="仿宋" w:hAnsi="仿宋" w:eastAsia="仿宋"/>
          <w:sz w:val="24"/>
        </w:rPr>
      </w:pPr>
      <w:r>
        <w:rPr>
          <w:rFonts w:hint="eastAsia" w:ascii="仿宋" w:hAnsi="仿宋" w:eastAsia="仿宋"/>
          <w:sz w:val="24"/>
        </w:rPr>
        <w:t>投标方报价后我司有权裁减设备或项目，并相应扣减报价。</w:t>
      </w:r>
    </w:p>
    <w:p>
      <w:pPr>
        <w:spacing w:line="360" w:lineRule="auto"/>
        <w:rPr>
          <w:rFonts w:hint="eastAsia" w:ascii="仿宋" w:hAnsi="仿宋" w:eastAsia="仿宋"/>
          <w:sz w:val="24"/>
        </w:rPr>
      </w:pPr>
      <w:r>
        <w:rPr>
          <w:rFonts w:hint="eastAsia" w:ascii="仿宋" w:hAnsi="仿宋" w:eastAsia="仿宋"/>
          <w:sz w:val="24"/>
        </w:rPr>
        <w:t>投标方所有报价包含税金、运费、包装、差旅、辅件等一切费用，为最终可顺利按需求说明书要求完成所有项目需求与目标的最终结算价。</w:t>
      </w:r>
    </w:p>
    <w:p>
      <w:pPr>
        <w:pStyle w:val="30"/>
        <w:numPr>
          <w:ilvl w:val="1"/>
          <w:numId w:val="9"/>
        </w:numPr>
        <w:ind w:left="1260"/>
        <w:rPr>
          <w:rFonts w:hint="eastAsia" w:ascii="仿宋" w:hAnsi="仿宋" w:eastAsia="仿宋"/>
          <w:sz w:val="24"/>
        </w:rPr>
      </w:pPr>
      <w:bookmarkStart w:id="214" w:name="_Toc32874347"/>
      <w:bookmarkStart w:id="215" w:name="_Toc414690320"/>
      <w:bookmarkStart w:id="216" w:name="_Toc202442870"/>
      <w:bookmarkStart w:id="217" w:name="_Toc51926449"/>
      <w:bookmarkStart w:id="218" w:name="_Toc464051070"/>
      <w:r>
        <w:rPr>
          <w:rFonts w:hint="eastAsia" w:ascii="仿宋" w:hAnsi="仿宋" w:eastAsia="仿宋"/>
          <w:sz w:val="24"/>
        </w:rPr>
        <w:t>招投标联系</w:t>
      </w:r>
      <w:bookmarkEnd w:id="214"/>
      <w:bookmarkEnd w:id="215"/>
      <w:bookmarkEnd w:id="216"/>
      <w:bookmarkEnd w:id="217"/>
      <w:bookmarkEnd w:id="218"/>
    </w:p>
    <w:p>
      <w:pPr>
        <w:spacing w:line="360" w:lineRule="auto"/>
        <w:rPr>
          <w:rFonts w:hint="eastAsia" w:ascii="仿宋" w:hAnsi="仿宋" w:eastAsia="仿宋"/>
          <w:b/>
          <w:sz w:val="24"/>
        </w:rPr>
      </w:pPr>
      <w:r>
        <w:rPr>
          <w:rFonts w:hint="eastAsia" w:ascii="仿宋" w:hAnsi="仿宋" w:eastAsia="仿宋"/>
          <w:b/>
          <w:sz w:val="24"/>
          <w:highlight w:val="yellow"/>
        </w:rPr>
        <w:t>付款方式：</w:t>
      </w:r>
    </w:p>
    <w:p>
      <w:pPr>
        <w:widowControl/>
        <w:kinsoku w:val="0"/>
        <w:autoSpaceDE w:val="0"/>
        <w:autoSpaceDN w:val="0"/>
        <w:adjustRightInd w:val="0"/>
        <w:snapToGrid w:val="0"/>
        <w:spacing w:before="238"/>
        <w:ind w:left="506"/>
        <w:jc w:val="left"/>
        <w:textAlignment w:val="baseline"/>
        <w:rPr>
          <w:rFonts w:ascii="宋体" w:hAnsi="宋体" w:cs="Arial"/>
          <w:color w:val="000000"/>
          <w:kern w:val="0"/>
          <w:sz w:val="24"/>
        </w:rPr>
      </w:pPr>
      <w:r>
        <w:rPr>
          <w:rFonts w:hint="eastAsia" w:ascii="宋体" w:hAnsi="宋体" w:cs="Arial"/>
          <w:color w:val="000000"/>
          <w:spacing w:val="2"/>
          <w:kern w:val="0"/>
          <w:sz w:val="24"/>
        </w:rPr>
        <w:t>合同付款计划(详细付款计划在合同中约定):</w:t>
      </w:r>
    </w:p>
    <w:tbl>
      <w:tblPr>
        <w:tblStyle w:val="63"/>
        <w:tblW w:w="8259" w:type="dxa"/>
        <w:tblInd w:w="14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34"/>
        <w:gridCol w:w="1518"/>
        <w:gridCol w:w="5433"/>
        <w:gridCol w:w="7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 w:hRule="atLeast"/>
        </w:trPr>
        <w:tc>
          <w:tcPr>
            <w:tcW w:w="534" w:type="dxa"/>
            <w:tcBorders>
              <w:top w:val="single" w:color="000000" w:sz="4" w:space="0"/>
              <w:left w:val="single" w:color="000000" w:sz="4" w:space="0"/>
              <w:bottom w:val="single" w:color="000000" w:sz="4" w:space="0"/>
              <w:right w:val="single" w:color="000000" w:sz="4" w:space="0"/>
            </w:tcBorders>
            <w:shd w:val="clear" w:color="auto" w:fill="BDBDBD"/>
          </w:tcPr>
          <w:p>
            <w:pPr>
              <w:widowControl/>
              <w:kinsoku w:val="0"/>
              <w:autoSpaceDE w:val="0"/>
              <w:autoSpaceDN w:val="0"/>
              <w:adjustRightInd w:val="0"/>
              <w:snapToGrid w:val="0"/>
              <w:spacing w:before="171"/>
              <w:ind w:left="31"/>
              <w:jc w:val="left"/>
              <w:textAlignment w:val="baseline"/>
              <w:rPr>
                <w:rFonts w:hint="eastAsia" w:ascii="宋体" w:hAnsi="宋体"/>
                <w:color w:val="000000"/>
                <w:kern w:val="0"/>
                <w:sz w:val="20"/>
                <w:szCs w:val="21"/>
              </w:rPr>
            </w:pPr>
            <w:r>
              <w:rPr>
                <w:rFonts w:hint="eastAsia" w:ascii="宋体" w:hAnsi="宋体"/>
                <w:b/>
                <w:bCs/>
                <w:color w:val="000000"/>
                <w:spacing w:val="-3"/>
                <w:kern w:val="0"/>
                <w:sz w:val="20"/>
                <w:szCs w:val="21"/>
              </w:rPr>
              <w:t>序</w:t>
            </w:r>
            <w:r>
              <w:rPr>
                <w:rFonts w:hint="eastAsia" w:ascii="宋体" w:hAnsi="宋体"/>
                <w:color w:val="000000"/>
                <w:spacing w:val="52"/>
                <w:kern w:val="0"/>
                <w:sz w:val="20"/>
                <w:szCs w:val="21"/>
              </w:rPr>
              <w:t xml:space="preserve"> </w:t>
            </w:r>
            <w:r>
              <w:rPr>
                <w:rFonts w:hint="eastAsia" w:ascii="宋体" w:hAnsi="宋体"/>
                <w:b/>
                <w:bCs/>
                <w:color w:val="000000"/>
                <w:spacing w:val="-3"/>
                <w:kern w:val="0"/>
                <w:sz w:val="20"/>
                <w:szCs w:val="21"/>
              </w:rPr>
              <w:t>号</w:t>
            </w:r>
          </w:p>
        </w:tc>
        <w:tc>
          <w:tcPr>
            <w:tcW w:w="1518" w:type="dxa"/>
            <w:tcBorders>
              <w:top w:val="single" w:color="000000" w:sz="4" w:space="0"/>
              <w:left w:val="single" w:color="000000" w:sz="4" w:space="0"/>
              <w:bottom w:val="single" w:color="000000" w:sz="4" w:space="0"/>
              <w:right w:val="single" w:color="000000" w:sz="4" w:space="0"/>
            </w:tcBorders>
            <w:shd w:val="clear" w:color="auto" w:fill="BDBDBD"/>
          </w:tcPr>
          <w:p>
            <w:pPr>
              <w:widowControl/>
              <w:kinsoku w:val="0"/>
              <w:autoSpaceDE w:val="0"/>
              <w:autoSpaceDN w:val="0"/>
              <w:adjustRightInd w:val="0"/>
              <w:snapToGrid w:val="0"/>
              <w:spacing w:before="231"/>
              <w:ind w:left="423"/>
              <w:jc w:val="left"/>
              <w:textAlignment w:val="baseline"/>
              <w:rPr>
                <w:rFonts w:hint="eastAsia" w:ascii="宋体" w:hAnsi="宋体"/>
                <w:color w:val="000000"/>
                <w:kern w:val="0"/>
                <w:sz w:val="20"/>
                <w:szCs w:val="21"/>
              </w:rPr>
            </w:pPr>
            <w:r>
              <w:rPr>
                <w:rFonts w:hint="eastAsia" w:ascii="宋体" w:hAnsi="宋体"/>
                <w:b/>
                <w:bCs/>
                <w:color w:val="000000"/>
                <w:spacing w:val="-11"/>
                <w:kern w:val="0"/>
                <w:sz w:val="20"/>
                <w:szCs w:val="21"/>
              </w:rPr>
              <w:t>阶</w:t>
            </w:r>
            <w:r>
              <w:rPr>
                <w:rFonts w:hint="eastAsia" w:ascii="宋体" w:hAnsi="宋体"/>
                <w:color w:val="000000"/>
                <w:spacing w:val="29"/>
                <w:kern w:val="0"/>
                <w:sz w:val="20"/>
                <w:szCs w:val="21"/>
              </w:rPr>
              <w:t xml:space="preserve">  </w:t>
            </w:r>
            <w:r>
              <w:rPr>
                <w:rFonts w:hint="eastAsia" w:ascii="宋体" w:hAnsi="宋体"/>
                <w:b/>
                <w:bCs/>
                <w:color w:val="000000"/>
                <w:spacing w:val="-11"/>
                <w:kern w:val="0"/>
                <w:sz w:val="20"/>
                <w:szCs w:val="21"/>
              </w:rPr>
              <w:t>段</w:t>
            </w:r>
          </w:p>
        </w:tc>
        <w:tc>
          <w:tcPr>
            <w:tcW w:w="5433" w:type="dxa"/>
            <w:tcBorders>
              <w:top w:val="single" w:color="000000" w:sz="4" w:space="0"/>
              <w:left w:val="single" w:color="000000" w:sz="4" w:space="0"/>
              <w:bottom w:val="single" w:color="000000" w:sz="4" w:space="0"/>
              <w:right w:val="single" w:color="000000" w:sz="4" w:space="0"/>
            </w:tcBorders>
            <w:shd w:val="clear" w:color="auto" w:fill="BDBDBD"/>
          </w:tcPr>
          <w:p>
            <w:pPr>
              <w:widowControl/>
              <w:kinsoku w:val="0"/>
              <w:autoSpaceDE w:val="0"/>
              <w:autoSpaceDN w:val="0"/>
              <w:adjustRightInd w:val="0"/>
              <w:snapToGrid w:val="0"/>
              <w:spacing w:before="230"/>
              <w:ind w:left="2405"/>
              <w:jc w:val="left"/>
              <w:textAlignment w:val="baseline"/>
              <w:rPr>
                <w:rFonts w:hint="eastAsia" w:ascii="宋体" w:hAnsi="宋体"/>
                <w:color w:val="000000"/>
                <w:kern w:val="0"/>
                <w:sz w:val="20"/>
                <w:szCs w:val="21"/>
              </w:rPr>
            </w:pPr>
            <w:r>
              <w:rPr>
                <w:rFonts w:hint="eastAsia" w:ascii="宋体" w:hAnsi="宋体"/>
                <w:b/>
                <w:bCs/>
                <w:color w:val="000000"/>
                <w:spacing w:val="-8"/>
                <w:kern w:val="0"/>
                <w:sz w:val="20"/>
                <w:szCs w:val="21"/>
              </w:rPr>
              <w:t>条</w:t>
            </w:r>
            <w:r>
              <w:rPr>
                <w:rFonts w:hint="eastAsia" w:ascii="宋体" w:hAnsi="宋体"/>
                <w:color w:val="000000"/>
                <w:spacing w:val="15"/>
                <w:kern w:val="0"/>
                <w:sz w:val="20"/>
                <w:szCs w:val="21"/>
              </w:rPr>
              <w:t xml:space="preserve">  </w:t>
            </w:r>
            <w:r>
              <w:rPr>
                <w:rFonts w:hint="eastAsia" w:ascii="宋体" w:hAnsi="宋体"/>
                <w:b/>
                <w:bCs/>
                <w:color w:val="000000"/>
                <w:spacing w:val="-8"/>
                <w:kern w:val="0"/>
                <w:sz w:val="20"/>
                <w:szCs w:val="21"/>
              </w:rPr>
              <w:t>件</w:t>
            </w:r>
          </w:p>
        </w:tc>
        <w:tc>
          <w:tcPr>
            <w:tcW w:w="774" w:type="dxa"/>
            <w:tcBorders>
              <w:top w:val="single" w:color="000000" w:sz="4" w:space="0"/>
              <w:left w:val="single" w:color="000000" w:sz="4" w:space="0"/>
              <w:bottom w:val="single" w:color="000000" w:sz="4" w:space="0"/>
              <w:right w:val="single" w:color="000000" w:sz="4" w:space="0"/>
            </w:tcBorders>
            <w:shd w:val="clear" w:color="auto" w:fill="BDBDBD"/>
          </w:tcPr>
          <w:p>
            <w:pPr>
              <w:widowControl/>
              <w:kinsoku w:val="0"/>
              <w:autoSpaceDE w:val="0"/>
              <w:autoSpaceDN w:val="0"/>
              <w:adjustRightInd w:val="0"/>
              <w:snapToGrid w:val="0"/>
              <w:spacing w:before="60"/>
              <w:ind w:left="172"/>
              <w:jc w:val="left"/>
              <w:textAlignment w:val="baseline"/>
              <w:rPr>
                <w:rFonts w:hint="eastAsia" w:ascii="宋体" w:hAnsi="宋体"/>
                <w:color w:val="000000"/>
                <w:kern w:val="0"/>
                <w:sz w:val="20"/>
                <w:szCs w:val="21"/>
              </w:rPr>
            </w:pPr>
            <w:r>
              <w:rPr>
                <w:rFonts w:hint="eastAsia" w:ascii="宋体" w:hAnsi="宋体"/>
                <w:b/>
                <w:bCs/>
                <w:color w:val="000000"/>
                <w:spacing w:val="-5"/>
                <w:kern w:val="0"/>
                <w:sz w:val="20"/>
                <w:szCs w:val="21"/>
              </w:rPr>
              <w:t>付款</w:t>
            </w:r>
          </w:p>
          <w:p>
            <w:pPr>
              <w:widowControl/>
              <w:kinsoku w:val="0"/>
              <w:autoSpaceDE w:val="0"/>
              <w:autoSpaceDN w:val="0"/>
              <w:adjustRightInd w:val="0"/>
              <w:snapToGrid w:val="0"/>
              <w:spacing w:before="52"/>
              <w:ind w:left="172"/>
              <w:jc w:val="left"/>
              <w:textAlignment w:val="baseline"/>
              <w:rPr>
                <w:rFonts w:hint="eastAsia" w:ascii="宋体" w:hAnsi="宋体"/>
                <w:color w:val="000000"/>
                <w:kern w:val="0"/>
                <w:sz w:val="20"/>
                <w:szCs w:val="21"/>
              </w:rPr>
            </w:pPr>
            <w:r>
              <w:rPr>
                <w:rFonts w:hint="eastAsia" w:ascii="宋体" w:hAnsi="宋体"/>
                <w:b/>
                <w:bCs/>
                <w:color w:val="000000"/>
                <w:spacing w:val="3"/>
                <w:kern w:val="0"/>
                <w:sz w:val="20"/>
                <w:szCs w:val="21"/>
              </w:rPr>
              <w:t>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8" w:hRule="atLeast"/>
        </w:trPr>
        <w:tc>
          <w:tcPr>
            <w:tcW w:w="534"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81"/>
              <w:ind w:left="204"/>
              <w:jc w:val="left"/>
              <w:textAlignment w:val="baseline"/>
              <w:rPr>
                <w:rFonts w:hint="eastAsia" w:ascii="宋体" w:hAnsi="宋体"/>
                <w:color w:val="000000"/>
                <w:kern w:val="0"/>
                <w:sz w:val="20"/>
                <w:szCs w:val="21"/>
              </w:rPr>
            </w:pPr>
            <w:r>
              <w:rPr>
                <w:rFonts w:hint="eastAsia" w:ascii="宋体" w:hAnsi="宋体"/>
                <w:color w:val="000000"/>
                <w:kern w:val="0"/>
                <w:sz w:val="20"/>
                <w:szCs w:val="21"/>
              </w:rPr>
              <w:t>1</w:t>
            </w:r>
          </w:p>
        </w:tc>
        <w:tc>
          <w:tcPr>
            <w:tcW w:w="1518"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61"/>
              <w:ind w:left="330"/>
              <w:jc w:val="left"/>
              <w:textAlignment w:val="baseline"/>
              <w:rPr>
                <w:rFonts w:hint="eastAsia" w:ascii="宋体" w:hAnsi="宋体"/>
                <w:color w:val="000000"/>
                <w:kern w:val="0"/>
                <w:sz w:val="20"/>
                <w:szCs w:val="21"/>
              </w:rPr>
            </w:pPr>
            <w:r>
              <w:rPr>
                <w:rFonts w:hint="eastAsia" w:ascii="宋体" w:hAnsi="宋体"/>
                <w:color w:val="000000"/>
                <w:spacing w:val="3"/>
                <w:kern w:val="0"/>
                <w:sz w:val="20"/>
                <w:szCs w:val="21"/>
              </w:rPr>
              <w:t>项目启动</w:t>
            </w:r>
          </w:p>
        </w:tc>
        <w:tc>
          <w:tcPr>
            <w:tcW w:w="5433"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59"/>
              <w:ind w:left="102"/>
              <w:jc w:val="left"/>
              <w:textAlignment w:val="baseline"/>
              <w:rPr>
                <w:rFonts w:hint="eastAsia" w:ascii="宋体" w:hAnsi="宋体"/>
                <w:color w:val="000000"/>
                <w:kern w:val="0"/>
                <w:sz w:val="20"/>
                <w:szCs w:val="21"/>
              </w:rPr>
            </w:pPr>
            <w:r>
              <w:rPr>
                <w:rFonts w:hint="eastAsia" w:ascii="宋体" w:hAnsi="宋体"/>
                <w:color w:val="000000"/>
                <w:spacing w:val="-1"/>
                <w:kern w:val="0"/>
                <w:sz w:val="20"/>
                <w:szCs w:val="21"/>
              </w:rPr>
              <w:t>合同签订且供应商向远东提供相应增值税发票。</w:t>
            </w:r>
          </w:p>
        </w:tc>
        <w:tc>
          <w:tcPr>
            <w:tcW w:w="774"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81"/>
              <w:ind w:left="219"/>
              <w:jc w:val="left"/>
              <w:textAlignment w:val="baseline"/>
              <w:rPr>
                <w:rFonts w:hint="eastAsia" w:ascii="宋体" w:hAnsi="宋体"/>
                <w:color w:val="000000"/>
                <w:kern w:val="0"/>
                <w:sz w:val="20"/>
                <w:szCs w:val="21"/>
              </w:rPr>
            </w:pPr>
            <w:r>
              <w:rPr>
                <w:rFonts w:hint="eastAsia" w:ascii="宋体" w:hAnsi="宋体"/>
                <w:color w:val="803040"/>
                <w:spacing w:val="-3"/>
                <w:kern w:val="0"/>
                <w:sz w:val="20"/>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534"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73"/>
              <w:ind w:left="204"/>
              <w:jc w:val="left"/>
              <w:textAlignment w:val="baseline"/>
              <w:rPr>
                <w:rFonts w:hint="eastAsia" w:ascii="宋体" w:hAnsi="宋体"/>
                <w:color w:val="000000"/>
                <w:kern w:val="0"/>
                <w:sz w:val="20"/>
                <w:szCs w:val="21"/>
              </w:rPr>
            </w:pPr>
            <w:r>
              <w:rPr>
                <w:rFonts w:hint="eastAsia" w:ascii="宋体" w:hAnsi="宋体"/>
                <w:color w:val="000000"/>
                <w:kern w:val="0"/>
                <w:sz w:val="20"/>
                <w:szCs w:val="21"/>
              </w:rPr>
              <w:t>2</w:t>
            </w:r>
          </w:p>
        </w:tc>
        <w:tc>
          <w:tcPr>
            <w:tcW w:w="1518"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52"/>
              <w:ind w:left="330"/>
              <w:jc w:val="left"/>
              <w:textAlignment w:val="baseline"/>
              <w:rPr>
                <w:rFonts w:hint="eastAsia" w:ascii="宋体" w:hAnsi="宋体"/>
                <w:color w:val="000000"/>
                <w:kern w:val="0"/>
                <w:sz w:val="20"/>
                <w:szCs w:val="21"/>
              </w:rPr>
            </w:pPr>
            <w:r>
              <w:rPr>
                <w:rFonts w:hint="eastAsia" w:ascii="宋体" w:hAnsi="宋体"/>
                <w:color w:val="000000"/>
                <w:spacing w:val="2"/>
                <w:kern w:val="0"/>
                <w:sz w:val="20"/>
                <w:szCs w:val="21"/>
              </w:rPr>
              <w:t>阶段交付</w:t>
            </w:r>
          </w:p>
        </w:tc>
        <w:tc>
          <w:tcPr>
            <w:tcW w:w="5433"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92" w:line="264" w:lineRule="auto"/>
              <w:ind w:left="102" w:right="79"/>
              <w:jc w:val="left"/>
              <w:textAlignment w:val="baseline"/>
              <w:rPr>
                <w:rFonts w:hint="eastAsia" w:ascii="宋体" w:hAnsi="宋体"/>
                <w:color w:val="000000"/>
                <w:kern w:val="0"/>
                <w:sz w:val="20"/>
                <w:szCs w:val="21"/>
              </w:rPr>
            </w:pPr>
            <w:r>
              <w:rPr>
                <w:rFonts w:hint="eastAsia" w:ascii="宋体" w:hAnsi="宋体"/>
                <w:color w:val="000000"/>
                <w:spacing w:val="-1"/>
                <w:kern w:val="0"/>
                <w:sz w:val="20"/>
                <w:szCs w:val="21"/>
              </w:rPr>
              <w:t>经过系统蓝图规划及方案设计评审环节，最终通过功能验</w:t>
            </w:r>
            <w:r>
              <w:rPr>
                <w:rFonts w:hint="eastAsia" w:ascii="宋体" w:hAnsi="宋体"/>
                <w:color w:val="000000"/>
                <w:spacing w:val="14"/>
                <w:kern w:val="0"/>
                <w:sz w:val="20"/>
                <w:szCs w:val="21"/>
              </w:rPr>
              <w:t xml:space="preserve"> </w:t>
            </w:r>
            <w:r>
              <w:rPr>
                <w:rFonts w:hint="eastAsia" w:ascii="宋体" w:hAnsi="宋体"/>
                <w:color w:val="000000"/>
                <w:spacing w:val="-1"/>
                <w:kern w:val="0"/>
                <w:sz w:val="20"/>
                <w:szCs w:val="21"/>
              </w:rPr>
              <w:t>证测试，确认核心系统功能全面达成设计要求。</w:t>
            </w:r>
          </w:p>
        </w:tc>
        <w:tc>
          <w:tcPr>
            <w:tcW w:w="774"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73"/>
              <w:ind w:left="219"/>
              <w:jc w:val="left"/>
              <w:textAlignment w:val="baseline"/>
              <w:rPr>
                <w:rFonts w:hint="eastAsia" w:ascii="宋体" w:hAnsi="宋体"/>
                <w:color w:val="000000"/>
                <w:kern w:val="0"/>
                <w:sz w:val="20"/>
                <w:szCs w:val="21"/>
              </w:rPr>
            </w:pPr>
            <w:r>
              <w:rPr>
                <w:rFonts w:hint="eastAsia" w:ascii="宋体" w:hAnsi="宋体"/>
                <w:color w:val="803030"/>
                <w:spacing w:val="-3"/>
                <w:kern w:val="0"/>
                <w:sz w:val="20"/>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trPr>
        <w:tc>
          <w:tcPr>
            <w:tcW w:w="534"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55"/>
              <w:ind w:left="204"/>
              <w:jc w:val="left"/>
              <w:textAlignment w:val="baseline"/>
              <w:rPr>
                <w:rFonts w:hint="eastAsia" w:ascii="宋体" w:hAnsi="宋体"/>
                <w:color w:val="000000"/>
                <w:kern w:val="0"/>
                <w:sz w:val="20"/>
                <w:szCs w:val="21"/>
              </w:rPr>
            </w:pPr>
            <w:r>
              <w:rPr>
                <w:rFonts w:hint="eastAsia" w:ascii="宋体" w:hAnsi="宋体"/>
                <w:color w:val="000000"/>
                <w:kern w:val="0"/>
                <w:sz w:val="20"/>
                <w:szCs w:val="21"/>
              </w:rPr>
              <w:t>3</w:t>
            </w:r>
          </w:p>
        </w:tc>
        <w:tc>
          <w:tcPr>
            <w:tcW w:w="1518"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35"/>
              <w:ind w:left="330"/>
              <w:jc w:val="left"/>
              <w:textAlignment w:val="baseline"/>
              <w:rPr>
                <w:rFonts w:hint="eastAsia" w:ascii="宋体" w:hAnsi="宋体"/>
                <w:color w:val="000000"/>
                <w:kern w:val="0"/>
                <w:sz w:val="20"/>
                <w:szCs w:val="21"/>
              </w:rPr>
            </w:pPr>
            <w:r>
              <w:rPr>
                <w:rFonts w:hint="eastAsia" w:ascii="宋体" w:hAnsi="宋体"/>
                <w:color w:val="000000"/>
                <w:spacing w:val="2"/>
                <w:kern w:val="0"/>
                <w:sz w:val="20"/>
                <w:szCs w:val="21"/>
              </w:rPr>
              <w:t>上线运行</w:t>
            </w:r>
          </w:p>
        </w:tc>
        <w:tc>
          <w:tcPr>
            <w:tcW w:w="5433"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82" w:line="252" w:lineRule="auto"/>
              <w:ind w:left="102" w:right="288"/>
              <w:jc w:val="left"/>
              <w:textAlignment w:val="baseline"/>
              <w:rPr>
                <w:rFonts w:hint="eastAsia" w:ascii="宋体" w:hAnsi="宋体"/>
                <w:color w:val="000000"/>
                <w:kern w:val="0"/>
                <w:sz w:val="20"/>
                <w:szCs w:val="21"/>
              </w:rPr>
            </w:pPr>
            <w:r>
              <w:rPr>
                <w:rFonts w:hint="eastAsia" w:ascii="宋体" w:hAnsi="宋体"/>
                <w:color w:val="000000"/>
                <w:spacing w:val="-1"/>
                <w:kern w:val="0"/>
                <w:sz w:val="20"/>
                <w:szCs w:val="21"/>
              </w:rPr>
              <w:t>签署确认上线运行报告且供应商向远东提供相应增值税</w:t>
            </w:r>
            <w:r>
              <w:rPr>
                <w:rFonts w:hint="eastAsia" w:ascii="宋体" w:hAnsi="宋体"/>
                <w:color w:val="000000"/>
                <w:spacing w:val="14"/>
                <w:kern w:val="0"/>
                <w:sz w:val="20"/>
                <w:szCs w:val="21"/>
              </w:rPr>
              <w:t xml:space="preserve"> </w:t>
            </w:r>
            <w:r>
              <w:rPr>
                <w:rFonts w:hint="eastAsia" w:ascii="宋体" w:hAnsi="宋体"/>
                <w:color w:val="000000"/>
                <w:spacing w:val="-2"/>
                <w:kern w:val="0"/>
                <w:sz w:val="20"/>
                <w:szCs w:val="21"/>
              </w:rPr>
              <w:t>发票。</w:t>
            </w:r>
          </w:p>
        </w:tc>
        <w:tc>
          <w:tcPr>
            <w:tcW w:w="774"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55"/>
              <w:ind w:left="219"/>
              <w:jc w:val="left"/>
              <w:textAlignment w:val="baseline"/>
              <w:rPr>
                <w:rFonts w:hint="eastAsia" w:ascii="宋体" w:hAnsi="宋体"/>
                <w:color w:val="000000"/>
                <w:kern w:val="0"/>
                <w:sz w:val="20"/>
                <w:szCs w:val="21"/>
              </w:rPr>
            </w:pPr>
            <w:r>
              <w:rPr>
                <w:rFonts w:hint="eastAsia" w:ascii="宋体" w:hAnsi="宋体"/>
                <w:color w:val="803040"/>
                <w:spacing w:val="-3"/>
                <w:kern w:val="0"/>
                <w:sz w:val="20"/>
                <w:szCs w:val="21"/>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34"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67"/>
              <w:ind w:left="204"/>
              <w:jc w:val="left"/>
              <w:textAlignment w:val="baseline"/>
              <w:rPr>
                <w:rFonts w:hint="eastAsia" w:ascii="宋体" w:hAnsi="宋体"/>
                <w:color w:val="000000"/>
                <w:kern w:val="0"/>
                <w:sz w:val="20"/>
                <w:szCs w:val="21"/>
              </w:rPr>
            </w:pPr>
            <w:r>
              <w:rPr>
                <w:rFonts w:hint="eastAsia" w:ascii="宋体" w:hAnsi="宋体"/>
                <w:color w:val="000000"/>
                <w:kern w:val="0"/>
                <w:sz w:val="20"/>
                <w:szCs w:val="21"/>
              </w:rPr>
              <w:t>4</w:t>
            </w:r>
          </w:p>
        </w:tc>
        <w:tc>
          <w:tcPr>
            <w:tcW w:w="1518"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46"/>
              <w:ind w:left="330"/>
              <w:jc w:val="left"/>
              <w:textAlignment w:val="baseline"/>
              <w:rPr>
                <w:rFonts w:hint="eastAsia" w:ascii="宋体" w:hAnsi="宋体"/>
                <w:color w:val="000000"/>
                <w:kern w:val="0"/>
                <w:sz w:val="20"/>
                <w:szCs w:val="21"/>
              </w:rPr>
            </w:pPr>
            <w:r>
              <w:rPr>
                <w:rFonts w:hint="eastAsia" w:ascii="宋体" w:hAnsi="宋体"/>
                <w:color w:val="000000"/>
                <w:spacing w:val="-3"/>
                <w:kern w:val="0"/>
                <w:sz w:val="20"/>
                <w:szCs w:val="21"/>
              </w:rPr>
              <w:t>项目验收</w:t>
            </w:r>
          </w:p>
        </w:tc>
        <w:tc>
          <w:tcPr>
            <w:tcW w:w="5433"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96" w:line="256" w:lineRule="auto"/>
              <w:ind w:left="102" w:right="183"/>
              <w:jc w:val="left"/>
              <w:textAlignment w:val="baseline"/>
              <w:rPr>
                <w:rFonts w:hint="eastAsia" w:ascii="宋体" w:hAnsi="宋体"/>
                <w:color w:val="000000"/>
                <w:kern w:val="0"/>
                <w:sz w:val="20"/>
                <w:szCs w:val="21"/>
              </w:rPr>
            </w:pPr>
            <w:r>
              <w:rPr>
                <w:rFonts w:hint="eastAsia" w:ascii="宋体" w:hAnsi="宋体"/>
                <w:color w:val="000000"/>
                <w:spacing w:val="-1"/>
                <w:kern w:val="0"/>
                <w:sz w:val="20"/>
                <w:szCs w:val="21"/>
              </w:rPr>
              <w:t>签署项目验收报告，且系统上线运行3个月运行稳定，供</w:t>
            </w:r>
            <w:r>
              <w:rPr>
                <w:rFonts w:hint="eastAsia" w:ascii="宋体" w:hAnsi="宋体"/>
                <w:color w:val="000000"/>
                <w:spacing w:val="15"/>
                <w:kern w:val="0"/>
                <w:sz w:val="20"/>
                <w:szCs w:val="21"/>
              </w:rPr>
              <w:t xml:space="preserve"> </w:t>
            </w:r>
            <w:r>
              <w:rPr>
                <w:rFonts w:hint="eastAsia" w:ascii="宋体" w:hAnsi="宋体"/>
                <w:color w:val="000000"/>
                <w:spacing w:val="-1"/>
                <w:kern w:val="0"/>
                <w:sz w:val="20"/>
                <w:szCs w:val="21"/>
              </w:rPr>
              <w:t>应商向远东提供相应增值税发票。</w:t>
            </w:r>
          </w:p>
        </w:tc>
        <w:tc>
          <w:tcPr>
            <w:tcW w:w="774" w:type="dxa"/>
            <w:tcBorders>
              <w:top w:val="single" w:color="000000" w:sz="4" w:space="0"/>
              <w:left w:val="single" w:color="000000" w:sz="4" w:space="0"/>
              <w:bottom w:val="single" w:color="000000" w:sz="4" w:space="0"/>
              <w:right w:val="single" w:color="000000" w:sz="4" w:space="0"/>
            </w:tcBorders>
          </w:tcPr>
          <w:p>
            <w:pPr>
              <w:widowControl/>
              <w:kinsoku w:val="0"/>
              <w:autoSpaceDE w:val="0"/>
              <w:autoSpaceDN w:val="0"/>
              <w:adjustRightInd w:val="0"/>
              <w:snapToGrid w:val="0"/>
              <w:spacing w:before="267"/>
              <w:ind w:left="219"/>
              <w:jc w:val="left"/>
              <w:textAlignment w:val="baseline"/>
              <w:rPr>
                <w:rFonts w:hint="eastAsia" w:ascii="宋体" w:hAnsi="宋体"/>
                <w:color w:val="000000"/>
                <w:kern w:val="0"/>
                <w:sz w:val="20"/>
                <w:szCs w:val="21"/>
              </w:rPr>
            </w:pPr>
            <w:r>
              <w:rPr>
                <w:rFonts w:hint="eastAsia" w:ascii="宋体" w:hAnsi="宋体"/>
                <w:color w:val="702030"/>
                <w:spacing w:val="-6"/>
                <w:kern w:val="0"/>
                <w:sz w:val="20"/>
                <w:szCs w:val="21"/>
              </w:rPr>
              <w:t>10%</w:t>
            </w:r>
          </w:p>
        </w:tc>
      </w:tr>
    </w:tbl>
    <w:p>
      <w:pPr>
        <w:widowControl/>
        <w:kinsoku w:val="0"/>
        <w:autoSpaceDE w:val="0"/>
        <w:autoSpaceDN w:val="0"/>
        <w:adjustRightInd w:val="0"/>
        <w:snapToGrid w:val="0"/>
        <w:jc w:val="left"/>
        <w:textAlignment w:val="baseline"/>
        <w:rPr>
          <w:rFonts w:hint="eastAsia" w:ascii="Arial" w:hAnsi="Arial" w:cs="Arial"/>
          <w:color w:val="000000"/>
          <w:kern w:val="0"/>
          <w:szCs w:val="21"/>
        </w:rPr>
      </w:pPr>
      <w:r>
        <w:rPr>
          <w:rFonts w:ascii="Arial" w:hAnsi="Arial" w:cs="Arial"/>
          <w:color w:val="000000"/>
          <w:kern w:val="0"/>
          <w:szCs w:val="21"/>
        </w:rPr>
        <w:t xml:space="preserve"> </w:t>
      </w:r>
    </w:p>
    <w:p>
      <w:pPr>
        <w:spacing w:line="360" w:lineRule="auto"/>
        <w:rPr>
          <w:rFonts w:ascii="仿宋" w:hAnsi="仿宋" w:eastAsia="仿宋"/>
          <w:sz w:val="24"/>
        </w:rPr>
      </w:pPr>
    </w:p>
    <w:p>
      <w:pPr>
        <w:spacing w:line="360" w:lineRule="auto"/>
        <w:rPr>
          <w:rFonts w:hint="eastAsia" w:ascii="仿宋" w:hAnsi="仿宋" w:eastAsia="仿宋"/>
          <w:b/>
          <w:sz w:val="24"/>
        </w:rPr>
      </w:pPr>
      <w:r>
        <w:rPr>
          <w:rFonts w:hint="eastAsia" w:ascii="仿宋" w:hAnsi="仿宋" w:eastAsia="仿宋"/>
          <w:b/>
          <w:sz w:val="24"/>
        </w:rPr>
        <w:t>其它要求：</w:t>
      </w:r>
    </w:p>
    <w:p>
      <w:pPr>
        <w:spacing w:line="360" w:lineRule="auto"/>
        <w:rPr>
          <w:rFonts w:hint="eastAsia" w:ascii="仿宋" w:hAnsi="仿宋" w:eastAsia="仿宋"/>
          <w:sz w:val="24"/>
        </w:rPr>
      </w:pPr>
      <w:r>
        <w:rPr>
          <w:rFonts w:hint="eastAsia" w:ascii="仿宋" w:hAnsi="仿宋" w:eastAsia="仿宋"/>
          <w:sz w:val="24"/>
        </w:rPr>
        <w:t>收到标书后，五年内未与远东发生过业务往来的供应商或先前未向我司申报过供应商信息的投标单位</w:t>
      </w:r>
      <w:r>
        <w:rPr>
          <w:rFonts w:hint="eastAsia" w:ascii="仿宋" w:hAnsi="仿宋" w:eastAsia="仿宋"/>
          <w:b/>
          <w:sz w:val="24"/>
        </w:rPr>
        <w:t>须</w:t>
      </w:r>
      <w:r>
        <w:rPr>
          <w:rFonts w:hint="eastAsia" w:ascii="仿宋" w:hAnsi="仿宋" w:eastAsia="仿宋"/>
          <w:sz w:val="24"/>
        </w:rPr>
        <w:t>向项目技术联系人索要《远东IT供应商情况自行申报表》填写、打印、签字、盖章并于</w:t>
      </w:r>
      <w:r>
        <w:rPr>
          <w:rFonts w:hint="eastAsia" w:ascii="仿宋" w:hAnsi="仿宋" w:eastAsia="仿宋"/>
          <w:b/>
          <w:sz w:val="24"/>
        </w:rPr>
        <w:t>3日内</w:t>
      </w:r>
      <w:r>
        <w:rPr>
          <w:rFonts w:hint="eastAsia" w:ascii="仿宋" w:hAnsi="仿宋" w:eastAsia="仿宋"/>
          <w:sz w:val="24"/>
        </w:rPr>
        <w:t>提交至项目技术联系人，若有需要，供应商须无偿且及时提供表内相关证明性材料。其它与本项目相关资质要求的证明,如系统集成资质、项目实施案例、工程师认证资质等，请邮件或纸质提交以供审核，提交的证明材料作假、无效或不能提供相关证明材料的投标方一律视为无效投标。</w:t>
      </w:r>
    </w:p>
    <w:p>
      <w:pPr>
        <w:spacing w:line="360" w:lineRule="auto"/>
        <w:rPr>
          <w:rFonts w:hint="eastAsia" w:ascii="仿宋" w:hAnsi="仿宋" w:eastAsia="仿宋"/>
          <w:sz w:val="24"/>
        </w:rPr>
      </w:pPr>
      <w:r>
        <w:rPr>
          <w:rFonts w:hint="eastAsia" w:ascii="仿宋" w:hAnsi="仿宋" w:eastAsia="仿宋"/>
          <w:sz w:val="24"/>
        </w:rPr>
        <w:t>投标书/报价书密封后在规定截止日期前提交至供应链服务中心。</w:t>
      </w:r>
    </w:p>
    <w:p>
      <w:pPr>
        <w:spacing w:line="360" w:lineRule="auto"/>
        <w:rPr>
          <w:rFonts w:hint="eastAsia" w:ascii="仿宋" w:hAnsi="仿宋" w:eastAsia="仿宋"/>
          <w:sz w:val="24"/>
        </w:rPr>
      </w:pPr>
      <w:r>
        <w:rPr>
          <w:rFonts w:hint="eastAsia" w:ascii="仿宋" w:hAnsi="仿宋" w:eastAsia="仿宋"/>
          <w:sz w:val="24"/>
        </w:rPr>
        <w:tab/>
      </w:r>
    </w:p>
    <w:p>
      <w:pPr>
        <w:spacing w:line="360" w:lineRule="auto"/>
        <w:rPr>
          <w:rFonts w:hint="eastAsia" w:ascii="仿宋" w:hAnsi="仿宋" w:eastAsia="仿宋"/>
          <w:b/>
          <w:bCs/>
          <w:sz w:val="24"/>
        </w:rPr>
      </w:pPr>
    </w:p>
    <w:p>
      <w:pPr>
        <w:widowControl/>
        <w:jc w:val="left"/>
        <w:rPr>
          <w:rFonts w:hint="eastAsia" w:ascii="仿宋" w:hAnsi="仿宋" w:eastAsia="仿宋"/>
          <w:b/>
          <w:bCs/>
          <w:sz w:val="24"/>
        </w:rPr>
      </w:pPr>
      <w:r>
        <w:rPr>
          <w:rFonts w:hint="eastAsia" w:ascii="仿宋" w:hAnsi="仿宋" w:eastAsia="仿宋"/>
          <w:b/>
          <w:bCs/>
          <w:sz w:val="24"/>
        </w:rPr>
        <w:br w:type="page"/>
      </w:r>
    </w:p>
    <w:p>
      <w:pPr>
        <w:pStyle w:val="3"/>
        <w:rPr>
          <w:rFonts w:hint="eastAsia"/>
        </w:rPr>
      </w:pPr>
      <w:bookmarkStart w:id="219" w:name="_Toc202442871"/>
      <w:r>
        <w:rPr>
          <w:rFonts w:hint="eastAsia"/>
        </w:rPr>
        <w:t>十 附件</w:t>
      </w:r>
      <w:bookmarkEnd w:id="219"/>
    </w:p>
    <w:p>
      <w:pPr>
        <w:pStyle w:val="2"/>
        <w:spacing w:before="0" w:after="0" w:line="240" w:lineRule="auto"/>
        <w:rPr>
          <w:rFonts w:hint="eastAsia" w:ascii="仿宋" w:hAnsi="仿宋" w:eastAsia="仿宋"/>
          <w:sz w:val="32"/>
          <w:szCs w:val="32"/>
        </w:rPr>
      </w:pPr>
      <w:bookmarkStart w:id="220" w:name="_Toc202442872"/>
      <w:r>
        <w:rPr>
          <w:rFonts w:hint="eastAsia" w:ascii="仿宋" w:hAnsi="仿宋" w:eastAsia="仿宋"/>
          <w:sz w:val="24"/>
        </w:rPr>
        <w:t>附件一</w:t>
      </w:r>
      <w:r>
        <w:rPr>
          <w:rFonts w:hint="eastAsia" w:ascii="仿宋" w:hAnsi="仿宋" w:eastAsia="仿宋"/>
          <w:sz w:val="32"/>
          <w:szCs w:val="32"/>
        </w:rPr>
        <w:t>《远东IT供应商情况自行申报表》</w:t>
      </w:r>
      <w:bookmarkEnd w:id="220"/>
    </w:p>
    <w:tbl>
      <w:tblPr>
        <w:tblStyle w:val="19"/>
        <w:tblW w:w="10787"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41"/>
        <w:gridCol w:w="1280"/>
        <w:gridCol w:w="13"/>
        <w:gridCol w:w="292"/>
        <w:gridCol w:w="873"/>
        <w:gridCol w:w="276"/>
        <w:gridCol w:w="1180"/>
        <w:gridCol w:w="485"/>
        <w:gridCol w:w="1116"/>
        <w:gridCol w:w="192"/>
        <w:gridCol w:w="537"/>
        <w:gridCol w:w="291"/>
        <w:gridCol w:w="583"/>
        <w:gridCol w:w="291"/>
        <w:gridCol w:w="292"/>
        <w:gridCol w:w="144"/>
        <w:gridCol w:w="852"/>
        <w:gridCol w:w="1349"/>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5" w:hRule="exact"/>
          <w:jc w:val="center"/>
        </w:trPr>
        <w:tc>
          <w:tcPr>
            <w:tcW w:w="741" w:type="dxa"/>
            <w:vMerge w:val="restart"/>
            <w:tcBorders>
              <w:top w:val="single" w:color="auto" w:sz="12" w:space="0"/>
              <w:left w:val="single" w:color="auto" w:sz="12" w:space="0"/>
              <w:bottom w:val="single" w:color="auto" w:sz="12" w:space="0"/>
              <w:right w:val="single" w:color="auto" w:sz="4" w:space="0"/>
            </w:tcBorders>
            <w:shd w:val="clear" w:color="auto" w:fill="D9E2F3" w:themeFill="accent1" w:themeFillTint="33"/>
            <w:vAlign w:val="center"/>
          </w:tcPr>
          <w:p>
            <w:pPr>
              <w:widowControl/>
              <w:ind w:left="-94" w:leftChars="-45" w:right="-67" w:rightChars="-32"/>
              <w:jc w:val="center"/>
              <w:rPr>
                <w:rFonts w:hint="eastAsia" w:ascii="黑体" w:hAnsi="黑体" w:eastAsia="黑体" w:cs="仿宋"/>
                <w:b/>
                <w:kern w:val="0"/>
                <w:sz w:val="22"/>
              </w:rPr>
            </w:pPr>
            <w:r>
              <w:rPr>
                <w:rFonts w:hint="eastAsia" w:ascii="黑体" w:hAnsi="黑体" w:eastAsia="黑体" w:cs="仿宋"/>
                <w:b/>
                <w:kern w:val="0"/>
                <w:sz w:val="22"/>
              </w:rPr>
              <w:t>基本</w:t>
            </w:r>
          </w:p>
          <w:p>
            <w:pPr>
              <w:widowControl/>
              <w:ind w:left="-94" w:leftChars="-45" w:right="-67" w:rightChars="-32"/>
              <w:jc w:val="center"/>
              <w:rPr>
                <w:rFonts w:hint="eastAsia" w:ascii="仿宋" w:hAnsi="仿宋" w:eastAsia="仿宋" w:cs="仿宋"/>
                <w:kern w:val="0"/>
                <w:sz w:val="22"/>
              </w:rPr>
            </w:pPr>
            <w:r>
              <w:rPr>
                <w:rFonts w:hint="eastAsia" w:ascii="黑体" w:hAnsi="黑体" w:eastAsia="黑体" w:cs="仿宋"/>
                <w:b/>
                <w:kern w:val="0"/>
                <w:sz w:val="22"/>
              </w:rPr>
              <w:t>信息</w:t>
            </w:r>
          </w:p>
        </w:tc>
        <w:tc>
          <w:tcPr>
            <w:tcW w:w="1293" w:type="dxa"/>
            <w:gridSpan w:val="2"/>
            <w:tcBorders>
              <w:top w:val="single" w:color="auto" w:sz="12" w:space="0"/>
              <w:left w:val="single" w:color="auto" w:sz="8"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公司名称</w:t>
            </w:r>
          </w:p>
        </w:tc>
        <w:tc>
          <w:tcPr>
            <w:tcW w:w="5242" w:type="dxa"/>
            <w:gridSpan w:val="9"/>
            <w:tcBorders>
              <w:top w:val="single" w:color="auto" w:sz="12" w:space="0"/>
              <w:left w:val="single" w:color="auto" w:sz="4" w:space="0"/>
              <w:bottom w:val="single" w:color="auto" w:sz="4" w:space="0"/>
              <w:right w:val="single" w:color="auto" w:sz="4"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c>
          <w:tcPr>
            <w:tcW w:w="1310" w:type="dxa"/>
            <w:gridSpan w:val="4"/>
            <w:tcBorders>
              <w:top w:val="single" w:color="auto" w:sz="12" w:space="0"/>
              <w:left w:val="single" w:color="auto" w:sz="4" w:space="0"/>
              <w:bottom w:val="single" w:color="auto" w:sz="4" w:space="0"/>
              <w:right w:val="single" w:color="auto" w:sz="4" w:space="0"/>
            </w:tcBorders>
            <w:vAlign w:val="center"/>
          </w:tcPr>
          <w:p>
            <w:pPr>
              <w:widowControl/>
              <w:ind w:left="-94" w:leftChars="-45" w:right="-67" w:rightChars="-32" w:firstLine="105" w:firstLineChars="48"/>
              <w:rPr>
                <w:rFonts w:hint="eastAsia" w:ascii="仿宋" w:hAnsi="仿宋" w:eastAsia="仿宋" w:cs="仿宋"/>
                <w:kern w:val="0"/>
                <w:sz w:val="22"/>
              </w:rPr>
            </w:pPr>
            <w:r>
              <w:rPr>
                <w:rFonts w:hint="eastAsia" w:ascii="仿宋" w:hAnsi="仿宋" w:eastAsia="仿宋" w:cs="仿宋"/>
                <w:kern w:val="0"/>
                <w:sz w:val="22"/>
              </w:rPr>
              <w:t>创立日期</w:t>
            </w:r>
          </w:p>
        </w:tc>
        <w:tc>
          <w:tcPr>
            <w:tcW w:w="2198" w:type="dxa"/>
            <w:gridSpan w:val="2"/>
            <w:tcBorders>
              <w:top w:val="single" w:color="auto" w:sz="12" w:space="0"/>
              <w:left w:val="single" w:color="auto" w:sz="4" w:space="0"/>
              <w:bottom w:val="single" w:color="auto" w:sz="4" w:space="0"/>
              <w:right w:val="single" w:color="auto" w:sz="12" w:space="0"/>
            </w:tcBorders>
            <w:vAlign w:val="center"/>
          </w:tcPr>
          <w:p>
            <w:pPr>
              <w:widowControl/>
              <w:ind w:left="-94" w:leftChars="-45" w:right="-67" w:rightChars="-32" w:firstLine="105" w:firstLineChars="48"/>
              <w:jc w:val="center"/>
              <w:rPr>
                <w:rFonts w:hint="eastAsia" w:ascii="仿宋" w:hAnsi="仿宋" w:eastAsia="仿宋" w:cs="仿宋"/>
                <w:kern w:val="0"/>
                <w:sz w:val="22"/>
                <w:highlight w:val="red"/>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仿宋" w:hAnsi="仿宋" w:eastAsia="仿宋" w:cs="仿宋"/>
                <w:kern w:val="0"/>
                <w:sz w:val="22"/>
              </w:rPr>
            </w:pPr>
          </w:p>
        </w:tc>
        <w:tc>
          <w:tcPr>
            <w:tcW w:w="1293" w:type="dxa"/>
            <w:gridSpan w:val="2"/>
            <w:tcBorders>
              <w:top w:val="single" w:color="auto" w:sz="4" w:space="0"/>
              <w:left w:val="single" w:color="auto" w:sz="8"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公司地址</w:t>
            </w:r>
          </w:p>
        </w:tc>
        <w:tc>
          <w:tcPr>
            <w:tcW w:w="5242" w:type="dxa"/>
            <w:gridSpan w:val="9"/>
            <w:tcBorders>
              <w:top w:val="single" w:color="auto" w:sz="4" w:space="0"/>
              <w:left w:val="single" w:color="auto" w:sz="4" w:space="0"/>
              <w:bottom w:val="single" w:color="auto" w:sz="4" w:space="0"/>
              <w:right w:val="single" w:color="auto" w:sz="4"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c>
          <w:tcPr>
            <w:tcW w:w="1310" w:type="dxa"/>
            <w:gridSpan w:val="4"/>
            <w:tcBorders>
              <w:top w:val="single" w:color="auto" w:sz="4" w:space="0"/>
              <w:left w:val="single" w:color="auto" w:sz="4" w:space="0"/>
              <w:bottom w:val="single" w:color="auto" w:sz="4" w:space="0"/>
              <w:right w:val="single" w:color="auto" w:sz="4" w:space="0"/>
            </w:tcBorders>
            <w:vAlign w:val="center"/>
          </w:tcPr>
          <w:p>
            <w:pPr>
              <w:widowControl/>
              <w:ind w:left="-94" w:leftChars="-45" w:right="-67" w:rightChars="-32" w:firstLine="105" w:firstLineChars="48"/>
              <w:rPr>
                <w:rFonts w:hint="eastAsia" w:ascii="仿宋" w:hAnsi="仿宋" w:eastAsia="仿宋" w:cs="仿宋"/>
                <w:sz w:val="22"/>
              </w:rPr>
            </w:pPr>
            <w:r>
              <w:rPr>
                <w:rFonts w:hint="eastAsia" w:ascii="仿宋" w:hAnsi="仿宋" w:eastAsia="仿宋" w:cs="仿宋"/>
                <w:sz w:val="22"/>
              </w:rPr>
              <w:t>公司电话</w:t>
            </w:r>
          </w:p>
        </w:tc>
        <w:tc>
          <w:tcPr>
            <w:tcW w:w="2198" w:type="dxa"/>
            <w:gridSpan w:val="2"/>
            <w:tcBorders>
              <w:top w:val="single" w:color="auto" w:sz="4" w:space="0"/>
              <w:left w:val="single" w:color="auto" w:sz="4" w:space="0"/>
              <w:bottom w:val="single" w:color="auto" w:sz="4" w:space="0"/>
              <w:right w:val="single" w:color="auto" w:sz="12"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仿宋" w:hAnsi="仿宋" w:eastAsia="仿宋" w:cs="仿宋"/>
                <w:kern w:val="0"/>
                <w:sz w:val="22"/>
              </w:rPr>
            </w:pPr>
          </w:p>
        </w:tc>
        <w:tc>
          <w:tcPr>
            <w:tcW w:w="1293" w:type="dxa"/>
            <w:gridSpan w:val="2"/>
            <w:tcBorders>
              <w:top w:val="single" w:color="auto" w:sz="4" w:space="0"/>
              <w:left w:val="single" w:color="auto" w:sz="8"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注册资金</w:t>
            </w:r>
          </w:p>
        </w:tc>
        <w:tc>
          <w:tcPr>
            <w:tcW w:w="2621" w:type="dxa"/>
            <w:gridSpan w:val="4"/>
            <w:tcBorders>
              <w:top w:val="single" w:color="auto" w:sz="4" w:space="0"/>
              <w:left w:val="single" w:color="auto" w:sz="4" w:space="0"/>
              <w:bottom w:val="single" w:color="auto" w:sz="4" w:space="0"/>
              <w:right w:val="single" w:color="auto" w:sz="4"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c>
          <w:tcPr>
            <w:tcW w:w="1601" w:type="dxa"/>
            <w:gridSpan w:val="2"/>
            <w:tcBorders>
              <w:top w:val="single" w:color="auto" w:sz="4" w:space="0"/>
              <w:left w:val="single" w:color="auto" w:sz="4" w:space="0"/>
              <w:bottom w:val="single" w:color="auto" w:sz="4" w:space="0"/>
              <w:right w:val="single" w:color="auto" w:sz="4" w:space="0"/>
            </w:tcBorders>
            <w:vAlign w:val="center"/>
          </w:tcPr>
          <w:p>
            <w:pPr>
              <w:widowControl/>
              <w:ind w:right="-67" w:rightChars="-32"/>
              <w:rPr>
                <w:rFonts w:hint="eastAsia" w:ascii="仿宋" w:hAnsi="仿宋" w:eastAsia="仿宋" w:cs="仿宋"/>
                <w:kern w:val="0"/>
                <w:sz w:val="22"/>
              </w:rPr>
            </w:pPr>
            <w:r>
              <w:rPr>
                <w:rFonts w:hint="eastAsia" w:ascii="仿宋" w:hAnsi="仿宋" w:eastAsia="仿宋" w:cs="仿宋"/>
                <w:sz w:val="22"/>
              </w:rPr>
              <w:t>社会信用代码</w:t>
            </w:r>
          </w:p>
        </w:tc>
        <w:tc>
          <w:tcPr>
            <w:tcW w:w="4528" w:type="dxa"/>
            <w:gridSpan w:val="9"/>
            <w:tcBorders>
              <w:top w:val="single" w:color="auto" w:sz="4" w:space="0"/>
              <w:left w:val="single" w:color="auto" w:sz="4" w:space="0"/>
              <w:bottom w:val="single" w:color="auto" w:sz="4" w:space="0"/>
              <w:right w:val="single" w:color="auto" w:sz="12"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仿宋" w:hAnsi="仿宋" w:eastAsia="仿宋" w:cs="仿宋"/>
                <w:kern w:val="0"/>
                <w:sz w:val="22"/>
              </w:rPr>
            </w:pPr>
          </w:p>
        </w:tc>
        <w:tc>
          <w:tcPr>
            <w:tcW w:w="1293" w:type="dxa"/>
            <w:gridSpan w:val="2"/>
            <w:tcBorders>
              <w:top w:val="single" w:color="auto" w:sz="4" w:space="0"/>
              <w:left w:val="single" w:color="auto" w:sz="8"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经营范围</w:t>
            </w:r>
          </w:p>
        </w:tc>
        <w:tc>
          <w:tcPr>
            <w:tcW w:w="8752" w:type="dxa"/>
            <w:gridSpan w:val="15"/>
            <w:tcBorders>
              <w:top w:val="single" w:color="auto" w:sz="4" w:space="0"/>
              <w:left w:val="single" w:color="auto" w:sz="4" w:space="0"/>
              <w:bottom w:val="single" w:color="auto" w:sz="4" w:space="0"/>
              <w:right w:val="single" w:color="auto" w:sz="12"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仿宋" w:hAnsi="仿宋" w:eastAsia="仿宋" w:cs="仿宋"/>
                <w:kern w:val="0"/>
                <w:sz w:val="22"/>
              </w:rPr>
            </w:pPr>
          </w:p>
        </w:tc>
        <w:tc>
          <w:tcPr>
            <w:tcW w:w="1293" w:type="dxa"/>
            <w:gridSpan w:val="2"/>
            <w:tcBorders>
              <w:top w:val="single" w:color="auto" w:sz="4" w:space="0"/>
              <w:left w:val="single" w:color="auto" w:sz="8"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公司法人</w:t>
            </w:r>
          </w:p>
        </w:tc>
        <w:tc>
          <w:tcPr>
            <w:tcW w:w="1441" w:type="dxa"/>
            <w:gridSpan w:val="3"/>
            <w:tcBorders>
              <w:top w:val="single" w:color="auto" w:sz="4" w:space="0"/>
              <w:left w:val="single" w:color="auto" w:sz="4" w:space="0"/>
              <w:bottom w:val="single" w:color="auto" w:sz="4" w:space="0"/>
              <w:right w:val="single" w:color="auto" w:sz="4" w:space="0"/>
            </w:tcBorders>
            <w:vAlign w:val="center"/>
          </w:tcPr>
          <w:p>
            <w:pPr>
              <w:widowControl/>
              <w:ind w:right="-67" w:rightChars="-32"/>
              <w:jc w:val="center"/>
              <w:rPr>
                <w:rFonts w:hint="eastAsia" w:ascii="仿宋" w:hAnsi="仿宋" w:eastAsia="仿宋" w:cs="仿宋"/>
                <w:kern w:val="0"/>
                <w:sz w:val="22"/>
              </w:rPr>
            </w:pPr>
          </w:p>
        </w:tc>
        <w:tc>
          <w:tcPr>
            <w:tcW w:w="1665" w:type="dxa"/>
            <w:gridSpan w:val="2"/>
            <w:tcBorders>
              <w:top w:val="single" w:color="auto" w:sz="4" w:space="0"/>
              <w:left w:val="single" w:color="auto" w:sz="4" w:space="0"/>
              <w:bottom w:val="single" w:color="auto" w:sz="4" w:space="0"/>
              <w:right w:val="single" w:color="auto" w:sz="4" w:space="0"/>
            </w:tcBorders>
            <w:vAlign w:val="center"/>
          </w:tcPr>
          <w:p>
            <w:pPr>
              <w:widowControl/>
              <w:ind w:right="-67" w:rightChars="-32"/>
              <w:jc w:val="center"/>
              <w:rPr>
                <w:rFonts w:hint="eastAsia" w:ascii="仿宋" w:hAnsi="仿宋" w:eastAsia="仿宋" w:cs="仿宋"/>
                <w:kern w:val="0"/>
                <w:sz w:val="22"/>
              </w:rPr>
            </w:pPr>
            <w:r>
              <w:rPr>
                <w:rFonts w:hint="eastAsia" w:ascii="仿宋" w:hAnsi="仿宋" w:eastAsia="仿宋" w:cs="仿宋"/>
                <w:kern w:val="0"/>
                <w:sz w:val="22"/>
              </w:rPr>
              <w:t>总经理</w:t>
            </w:r>
          </w:p>
        </w:tc>
        <w:tc>
          <w:tcPr>
            <w:tcW w:w="1845" w:type="dxa"/>
            <w:gridSpan w:val="3"/>
            <w:tcBorders>
              <w:top w:val="single" w:color="auto" w:sz="4" w:space="0"/>
              <w:left w:val="single" w:color="auto" w:sz="4" w:space="0"/>
              <w:bottom w:val="single" w:color="auto" w:sz="4" w:space="0"/>
              <w:right w:val="single" w:color="auto" w:sz="4" w:space="0"/>
            </w:tcBorders>
            <w:vAlign w:val="center"/>
          </w:tcPr>
          <w:p>
            <w:pPr>
              <w:widowControl/>
              <w:ind w:right="-67" w:rightChars="-32"/>
              <w:jc w:val="center"/>
              <w:rPr>
                <w:rFonts w:hint="eastAsia" w:ascii="仿宋" w:hAnsi="仿宋" w:eastAsia="仿宋" w:cs="仿宋"/>
                <w:kern w:val="0"/>
                <w:sz w:val="22"/>
              </w:rPr>
            </w:pPr>
          </w:p>
        </w:tc>
        <w:tc>
          <w:tcPr>
            <w:tcW w:w="1165" w:type="dxa"/>
            <w:gridSpan w:val="3"/>
            <w:tcBorders>
              <w:top w:val="single" w:color="auto" w:sz="4" w:space="0"/>
              <w:left w:val="single" w:color="auto" w:sz="4" w:space="0"/>
              <w:bottom w:val="single" w:color="auto" w:sz="4" w:space="0"/>
              <w:right w:val="single" w:color="auto" w:sz="4" w:space="0"/>
            </w:tcBorders>
            <w:vAlign w:val="center"/>
          </w:tcPr>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手机号码</w:t>
            </w:r>
          </w:p>
        </w:tc>
        <w:tc>
          <w:tcPr>
            <w:tcW w:w="2635" w:type="dxa"/>
            <w:gridSpan w:val="4"/>
            <w:tcBorders>
              <w:top w:val="single" w:color="auto" w:sz="4" w:space="0"/>
              <w:left w:val="single" w:color="auto" w:sz="4" w:space="0"/>
              <w:bottom w:val="single" w:color="auto" w:sz="4" w:space="0"/>
              <w:right w:val="single" w:color="auto" w:sz="12" w:space="0"/>
            </w:tcBorders>
            <w:vAlign w:val="center"/>
          </w:tcPr>
          <w:p>
            <w:pPr>
              <w:widowControl/>
              <w:ind w:left="-94" w:leftChars="-45" w:right="-67" w:rightChars="-32" w:firstLine="105" w:firstLineChars="48"/>
              <w:jc w:val="center"/>
              <w:rPr>
                <w:rFonts w:hint="eastAsia" w:ascii="仿宋" w:hAnsi="仿宋" w:eastAsia="仿宋" w:cs="仿宋"/>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2"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仿宋" w:hAnsi="仿宋" w:eastAsia="仿宋" w:cs="仿宋"/>
                <w:kern w:val="0"/>
                <w:sz w:val="22"/>
              </w:rPr>
            </w:pPr>
          </w:p>
        </w:tc>
        <w:tc>
          <w:tcPr>
            <w:tcW w:w="2458" w:type="dxa"/>
            <w:gridSpan w:val="4"/>
            <w:tcBorders>
              <w:top w:val="single" w:color="auto" w:sz="4" w:space="0"/>
              <w:left w:val="single" w:color="auto" w:sz="8" w:space="0"/>
              <w:bottom w:val="single" w:color="auto" w:sz="12" w:space="0"/>
              <w:right w:val="single" w:color="auto" w:sz="4" w:space="0"/>
            </w:tcBorders>
            <w:vAlign w:val="center"/>
          </w:tcPr>
          <w:p>
            <w:pPr>
              <w:widowControl/>
              <w:jc w:val="center"/>
              <w:rPr>
                <w:rFonts w:hint="eastAsia" w:ascii="仿宋" w:hAnsi="仿宋" w:eastAsia="仿宋" w:cs="仿宋"/>
                <w:kern w:val="0"/>
                <w:sz w:val="22"/>
              </w:rPr>
            </w:pPr>
            <w:r>
              <w:rPr>
                <w:rFonts w:hint="eastAsia" w:ascii="仿宋" w:hAnsi="仿宋" w:eastAsia="仿宋" w:cs="仿宋"/>
                <w:kern w:val="0"/>
                <w:sz w:val="22"/>
              </w:rPr>
              <w:t>主营产品或服务</w:t>
            </w:r>
          </w:p>
          <w:p>
            <w:pPr>
              <w:widowControl/>
              <w:ind w:left="-94" w:leftChars="-45" w:right="-67" w:rightChars="-32"/>
              <w:jc w:val="center"/>
              <w:rPr>
                <w:rFonts w:hint="eastAsia" w:ascii="仿宋" w:hAnsi="仿宋" w:eastAsia="仿宋" w:cs="仿宋"/>
                <w:kern w:val="0"/>
                <w:sz w:val="22"/>
              </w:rPr>
            </w:pPr>
            <w:r>
              <w:rPr>
                <w:rFonts w:hint="eastAsia" w:ascii="仿宋" w:hAnsi="仿宋" w:eastAsia="仿宋" w:cs="仿宋"/>
                <w:kern w:val="0"/>
                <w:sz w:val="22"/>
              </w:rPr>
              <w:t>及认证情况（2～3个）</w:t>
            </w:r>
          </w:p>
        </w:tc>
        <w:tc>
          <w:tcPr>
            <w:tcW w:w="7587" w:type="dxa"/>
            <w:gridSpan w:val="13"/>
            <w:tcBorders>
              <w:top w:val="single" w:color="auto" w:sz="4" w:space="0"/>
              <w:left w:val="single" w:color="auto" w:sz="4" w:space="0"/>
              <w:bottom w:val="single" w:color="auto" w:sz="12" w:space="0"/>
              <w:right w:val="single" w:color="auto" w:sz="12" w:space="0"/>
            </w:tcBorders>
            <w:vAlign w:val="center"/>
          </w:tcPr>
          <w:p>
            <w:pPr>
              <w:widowControl/>
              <w:ind w:left="-94" w:leftChars="-45" w:right="-67" w:rightChars="-32"/>
              <w:jc w:val="center"/>
              <w:rPr>
                <w:rFonts w:hint="eastAsia" w:ascii="仿宋" w:hAnsi="仿宋" w:eastAsia="仿宋" w:cs="仿宋"/>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9" w:hRule="exact"/>
          <w:jc w:val="center"/>
        </w:trPr>
        <w:tc>
          <w:tcPr>
            <w:tcW w:w="741" w:type="dxa"/>
            <w:vMerge w:val="restart"/>
            <w:tcBorders>
              <w:top w:val="single" w:color="auto" w:sz="12" w:space="0"/>
              <w:left w:val="single" w:color="auto" w:sz="12" w:space="0"/>
              <w:bottom w:val="single" w:color="auto" w:sz="4" w:space="0"/>
              <w:right w:val="single" w:color="auto" w:sz="4" w:space="0"/>
            </w:tcBorders>
            <w:shd w:val="clear" w:color="auto" w:fill="D9E2F3" w:themeFill="accent1" w:themeFillTint="33"/>
            <w:vAlign w:val="center"/>
          </w:tcPr>
          <w:p>
            <w:pPr>
              <w:widowControl/>
              <w:ind w:left="-94" w:leftChars="-45" w:right="-67" w:rightChars="-32"/>
              <w:jc w:val="center"/>
              <w:rPr>
                <w:rFonts w:hint="eastAsia" w:ascii="黑体" w:hAnsi="黑体" w:eastAsia="黑体" w:cs="仿宋"/>
                <w:b/>
                <w:kern w:val="0"/>
                <w:sz w:val="22"/>
              </w:rPr>
            </w:pPr>
            <w:r>
              <w:rPr>
                <w:rFonts w:hint="eastAsia" w:ascii="黑体" w:hAnsi="黑体" w:eastAsia="黑体" w:cs="仿宋"/>
                <w:b/>
                <w:kern w:val="0"/>
                <w:sz w:val="22"/>
              </w:rPr>
              <w:t>经营</w:t>
            </w:r>
          </w:p>
          <w:p>
            <w:pPr>
              <w:widowControl/>
              <w:ind w:left="-94" w:leftChars="-45" w:right="-67" w:rightChars="-32"/>
              <w:jc w:val="center"/>
              <w:rPr>
                <w:rFonts w:hint="eastAsia" w:ascii="微软雅黑" w:hAnsi="微软雅黑" w:eastAsia="微软雅黑" w:cs="仿宋"/>
                <w:b/>
                <w:kern w:val="0"/>
                <w:sz w:val="22"/>
              </w:rPr>
            </w:pPr>
            <w:r>
              <w:rPr>
                <w:rFonts w:hint="eastAsia" w:ascii="黑体" w:hAnsi="黑体" w:eastAsia="黑体" w:cs="仿宋"/>
                <w:b/>
                <w:kern w:val="0"/>
                <w:sz w:val="22"/>
              </w:rPr>
              <w:t>信息</w:t>
            </w:r>
          </w:p>
        </w:tc>
        <w:tc>
          <w:tcPr>
            <w:tcW w:w="1280" w:type="dxa"/>
            <w:vMerge w:val="restart"/>
            <w:tcBorders>
              <w:top w:val="single" w:color="auto" w:sz="12"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bCs/>
                <w:kern w:val="0"/>
                <w:sz w:val="22"/>
              </w:rPr>
            </w:pPr>
            <w:r>
              <w:rPr>
                <w:rFonts w:hint="eastAsia" w:ascii="仿宋" w:hAnsi="仿宋" w:eastAsia="仿宋" w:cs="仿宋"/>
                <w:bCs/>
                <w:kern w:val="0"/>
                <w:sz w:val="22"/>
              </w:rPr>
              <w:t>人员情况</w:t>
            </w:r>
          </w:p>
        </w:tc>
        <w:tc>
          <w:tcPr>
            <w:tcW w:w="1454" w:type="dxa"/>
            <w:gridSpan w:val="4"/>
            <w:tcBorders>
              <w:top w:val="single" w:color="auto" w:sz="12"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kern w:val="0"/>
                <w:sz w:val="22"/>
              </w:rPr>
            </w:pPr>
            <w:r>
              <w:rPr>
                <w:rFonts w:hint="eastAsia" w:ascii="仿宋" w:hAnsi="仿宋" w:eastAsia="仿宋" w:cs="仿宋"/>
                <w:kern w:val="0"/>
                <w:sz w:val="22"/>
              </w:rPr>
              <w:t>公司</w:t>
            </w:r>
          </w:p>
        </w:tc>
        <w:tc>
          <w:tcPr>
            <w:tcW w:w="7310" w:type="dxa"/>
            <w:gridSpan w:val="12"/>
            <w:tcBorders>
              <w:top w:val="single" w:color="auto" w:sz="12" w:space="0"/>
              <w:left w:val="single" w:color="auto" w:sz="4" w:space="0"/>
              <w:bottom w:val="single" w:color="auto" w:sz="4" w:space="0"/>
              <w:right w:val="single" w:color="auto" w:sz="12" w:space="0"/>
            </w:tcBorders>
            <w:vAlign w:val="center"/>
          </w:tcPr>
          <w:p>
            <w:pPr>
              <w:widowControl/>
              <w:rPr>
                <w:rFonts w:hint="eastAsia" w:ascii="仿宋" w:hAnsi="仿宋" w:eastAsia="仿宋" w:cs="仿宋"/>
                <w:b/>
                <w:bCs/>
                <w:kern w:val="0"/>
                <w:sz w:val="22"/>
              </w:rPr>
            </w:pPr>
            <w:r>
              <w:rPr>
                <w:rFonts w:hint="eastAsia" w:ascii="仿宋" w:hAnsi="仿宋" w:eastAsia="仿宋" w:cs="仿宋"/>
                <w:kern w:val="0"/>
                <w:sz w:val="22"/>
              </w:rPr>
              <w:t>总部所在地：         全司员工数：        其中技术人员数：</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9" w:hRule="exact"/>
          <w:jc w:val="center"/>
        </w:trPr>
        <w:tc>
          <w:tcPr>
            <w:tcW w:w="741" w:type="dxa"/>
            <w:vMerge w:val="continue"/>
            <w:tcBorders>
              <w:top w:val="single" w:color="auto" w:sz="12" w:space="0"/>
              <w:left w:val="single" w:color="auto" w:sz="12" w:space="0"/>
              <w:bottom w:val="single" w:color="auto" w:sz="4" w:space="0"/>
              <w:right w:val="single" w:color="auto" w:sz="4" w:space="0"/>
            </w:tcBorders>
            <w:vAlign w:val="center"/>
          </w:tcPr>
          <w:p>
            <w:pPr>
              <w:widowControl/>
              <w:jc w:val="left"/>
              <w:rPr>
                <w:rFonts w:hint="eastAsia" w:ascii="微软雅黑" w:hAnsi="微软雅黑" w:eastAsia="微软雅黑" w:cs="仿宋"/>
                <w:b/>
                <w:kern w:val="0"/>
                <w:sz w:val="22"/>
              </w:rPr>
            </w:pPr>
          </w:p>
        </w:tc>
        <w:tc>
          <w:tcPr>
            <w:tcW w:w="1280" w:type="dxa"/>
            <w:vMerge w:val="continue"/>
            <w:tcBorders>
              <w:top w:val="single" w:color="auto" w:sz="12" w:space="0"/>
              <w:left w:val="single" w:color="auto" w:sz="8" w:space="0"/>
              <w:bottom w:val="single" w:color="auto" w:sz="4" w:space="0"/>
              <w:right w:val="single" w:color="auto" w:sz="4" w:space="0"/>
            </w:tcBorders>
            <w:vAlign w:val="center"/>
          </w:tcPr>
          <w:p>
            <w:pPr>
              <w:widowControl/>
              <w:jc w:val="left"/>
              <w:rPr>
                <w:rFonts w:hint="eastAsia" w:ascii="仿宋" w:hAnsi="仿宋" w:eastAsia="仿宋" w:cs="仿宋"/>
                <w:bCs/>
                <w:kern w:val="0"/>
                <w:sz w:val="22"/>
              </w:rPr>
            </w:pPr>
          </w:p>
        </w:tc>
        <w:tc>
          <w:tcPr>
            <w:tcW w:w="1454"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 w:val="22"/>
              </w:rPr>
            </w:pPr>
            <w:r>
              <w:rPr>
                <w:rFonts w:hint="eastAsia" w:ascii="仿宋" w:hAnsi="仿宋" w:eastAsia="仿宋" w:cs="仿宋"/>
                <w:sz w:val="22"/>
              </w:rPr>
              <w:t>本地分公司</w:t>
            </w:r>
          </w:p>
        </w:tc>
        <w:tc>
          <w:tcPr>
            <w:tcW w:w="7310" w:type="dxa"/>
            <w:gridSpan w:val="12"/>
            <w:tcBorders>
              <w:top w:val="single" w:color="auto" w:sz="4" w:space="0"/>
              <w:left w:val="single" w:color="auto" w:sz="4" w:space="0"/>
              <w:bottom w:val="single" w:color="auto" w:sz="4" w:space="0"/>
              <w:right w:val="single" w:color="auto" w:sz="12" w:space="0"/>
            </w:tcBorders>
            <w:vAlign w:val="center"/>
          </w:tcPr>
          <w:p>
            <w:pPr>
              <w:widowControl/>
              <w:jc w:val="left"/>
              <w:rPr>
                <w:rFonts w:hint="eastAsia" w:ascii="仿宋" w:hAnsi="仿宋" w:eastAsia="仿宋" w:cs="仿宋"/>
                <w:kern w:val="0"/>
                <w:sz w:val="22"/>
              </w:rPr>
            </w:pPr>
            <w:r>
              <w:rPr>
                <w:rFonts w:hint="eastAsia" w:ascii="仿宋" w:hAnsi="仿宋" w:eastAsia="仿宋" w:cs="仿宋"/>
                <w:kern w:val="0"/>
                <w:sz w:val="22"/>
              </w:rPr>
              <w:t>分部所在地：         分部员工数：        其中技术人员数：</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6" w:hRule="exact"/>
          <w:jc w:val="center"/>
        </w:trPr>
        <w:tc>
          <w:tcPr>
            <w:tcW w:w="741" w:type="dxa"/>
            <w:vMerge w:val="continue"/>
            <w:tcBorders>
              <w:top w:val="single" w:color="auto" w:sz="12" w:space="0"/>
              <w:left w:val="single" w:color="auto" w:sz="12" w:space="0"/>
              <w:bottom w:val="single" w:color="auto" w:sz="4" w:space="0"/>
              <w:right w:val="single" w:color="auto" w:sz="4" w:space="0"/>
            </w:tcBorders>
            <w:vAlign w:val="center"/>
          </w:tcPr>
          <w:p>
            <w:pPr>
              <w:widowControl/>
              <w:jc w:val="left"/>
              <w:rPr>
                <w:rFonts w:hint="eastAsia" w:ascii="微软雅黑" w:hAnsi="微软雅黑" w:eastAsia="微软雅黑" w:cs="仿宋"/>
                <w:b/>
                <w:kern w:val="0"/>
                <w:sz w:val="22"/>
              </w:rPr>
            </w:pPr>
          </w:p>
        </w:tc>
        <w:tc>
          <w:tcPr>
            <w:tcW w:w="1280" w:type="dxa"/>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sz w:val="22"/>
              </w:rPr>
            </w:pPr>
            <w:r>
              <w:rPr>
                <w:rFonts w:hint="eastAsia" w:ascii="仿宋" w:hAnsi="仿宋" w:eastAsia="仿宋" w:cs="仿宋"/>
                <w:bCs/>
                <w:kern w:val="0"/>
                <w:sz w:val="22"/>
              </w:rPr>
              <w:t>经营指标</w:t>
            </w:r>
          </w:p>
        </w:tc>
        <w:tc>
          <w:tcPr>
            <w:tcW w:w="8765" w:type="dxa"/>
            <w:gridSpan w:val="16"/>
            <w:tcBorders>
              <w:top w:val="single" w:color="auto" w:sz="4" w:space="0"/>
              <w:left w:val="single" w:color="auto" w:sz="4" w:space="0"/>
              <w:bottom w:val="single" w:color="auto" w:sz="4" w:space="0"/>
              <w:right w:val="single" w:color="auto" w:sz="12" w:space="0"/>
            </w:tcBorders>
            <w:vAlign w:val="center"/>
          </w:tcPr>
          <w:p>
            <w:pPr>
              <w:widowControl/>
              <w:jc w:val="left"/>
              <w:rPr>
                <w:rFonts w:hint="eastAsia" w:ascii="仿宋" w:hAnsi="仿宋" w:eastAsia="仿宋" w:cs="仿宋"/>
                <w:sz w:val="22"/>
              </w:rPr>
            </w:pPr>
            <w:r>
              <w:rPr>
                <w:rFonts w:hint="eastAsia" w:ascii="仿宋" w:hAnsi="仿宋" w:eastAsia="仿宋" w:cs="仿宋"/>
                <w:sz w:val="22"/>
              </w:rPr>
              <w:t>前年， 收入：       万元，   利润：     万元，   纳税：  万元</w:t>
            </w:r>
          </w:p>
          <w:p>
            <w:pPr>
              <w:widowControl/>
              <w:jc w:val="left"/>
              <w:rPr>
                <w:rFonts w:hint="eastAsia" w:ascii="仿宋" w:hAnsi="仿宋" w:eastAsia="仿宋" w:cs="仿宋"/>
                <w:sz w:val="22"/>
              </w:rPr>
            </w:pPr>
            <w:r>
              <w:rPr>
                <w:rFonts w:hint="eastAsia" w:ascii="仿宋" w:hAnsi="仿宋" w:eastAsia="仿宋" w:cs="仿宋"/>
                <w:bCs/>
                <w:kern w:val="0"/>
                <w:sz w:val="22"/>
              </w:rPr>
              <w:t>利润</w:t>
            </w:r>
          </w:p>
          <w:p>
            <w:pPr>
              <w:widowControl/>
              <w:jc w:val="left"/>
              <w:rPr>
                <w:rFonts w:hint="eastAsia" w:ascii="仿宋" w:hAnsi="仿宋" w:eastAsia="仿宋" w:cs="仿宋"/>
                <w:sz w:val="22"/>
              </w:rPr>
            </w:pPr>
            <w:r>
              <w:rPr>
                <w:rFonts w:hint="eastAsia" w:ascii="仿宋" w:hAnsi="仿宋" w:eastAsia="仿宋" w:cs="仿宋"/>
                <w:kern w:val="0"/>
                <w:sz w:val="22"/>
              </w:rPr>
              <w:t>纳税额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9" w:hRule="atLeast"/>
          <w:jc w:val="center"/>
        </w:trPr>
        <w:tc>
          <w:tcPr>
            <w:tcW w:w="741" w:type="dxa"/>
            <w:vMerge w:val="continue"/>
            <w:tcBorders>
              <w:top w:val="single" w:color="auto" w:sz="12" w:space="0"/>
              <w:left w:val="single" w:color="auto" w:sz="12" w:space="0"/>
              <w:bottom w:val="single" w:color="auto" w:sz="4" w:space="0"/>
              <w:right w:val="single" w:color="auto" w:sz="4" w:space="0"/>
            </w:tcBorders>
            <w:vAlign w:val="center"/>
          </w:tcPr>
          <w:p>
            <w:pPr>
              <w:widowControl/>
              <w:jc w:val="left"/>
              <w:rPr>
                <w:rFonts w:hint="eastAsia" w:ascii="微软雅黑" w:hAnsi="微软雅黑" w:eastAsia="微软雅黑" w:cs="仿宋"/>
                <w:b/>
                <w:kern w:val="0"/>
                <w:sz w:val="22"/>
              </w:rPr>
            </w:pPr>
          </w:p>
        </w:tc>
        <w:tc>
          <w:tcPr>
            <w:tcW w:w="128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仿宋" w:hAnsi="仿宋" w:eastAsia="仿宋" w:cs="仿宋"/>
                <w:sz w:val="22"/>
              </w:rPr>
            </w:pPr>
          </w:p>
        </w:tc>
        <w:tc>
          <w:tcPr>
            <w:tcW w:w="8765" w:type="dxa"/>
            <w:gridSpan w:val="16"/>
            <w:tcBorders>
              <w:top w:val="single" w:color="auto" w:sz="4" w:space="0"/>
              <w:left w:val="single" w:color="auto" w:sz="4" w:space="0"/>
              <w:bottom w:val="single" w:color="auto" w:sz="4" w:space="0"/>
              <w:right w:val="single" w:color="auto" w:sz="12" w:space="0"/>
            </w:tcBorders>
            <w:vAlign w:val="center"/>
          </w:tcPr>
          <w:p>
            <w:pPr>
              <w:widowControl/>
              <w:jc w:val="left"/>
              <w:rPr>
                <w:rFonts w:hint="eastAsia" w:ascii="仿宋" w:hAnsi="仿宋" w:eastAsia="仿宋" w:cs="仿宋"/>
                <w:sz w:val="22"/>
              </w:rPr>
            </w:pPr>
            <w:r>
              <w:rPr>
                <w:rFonts w:hint="eastAsia" w:ascii="仿宋" w:hAnsi="仿宋" w:eastAsia="仿宋" w:cs="仿宋"/>
                <w:sz w:val="22"/>
              </w:rPr>
              <w:t>去年， 收入：       万元，   利润：     万元，   纳税：  万元</w:t>
            </w:r>
          </w:p>
          <w:p>
            <w:pPr>
              <w:widowControl/>
              <w:jc w:val="left"/>
              <w:rPr>
                <w:rFonts w:hint="eastAsia" w:ascii="仿宋" w:hAnsi="仿宋" w:eastAsia="仿宋" w:cs="仿宋"/>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37" w:hRule="exact"/>
          <w:jc w:val="center"/>
        </w:trPr>
        <w:tc>
          <w:tcPr>
            <w:tcW w:w="741" w:type="dxa"/>
            <w:vMerge w:val="restart"/>
            <w:tcBorders>
              <w:top w:val="single" w:color="auto" w:sz="12" w:space="0"/>
              <w:left w:val="single" w:color="auto" w:sz="12" w:space="0"/>
              <w:bottom w:val="single" w:color="auto" w:sz="12" w:space="0"/>
              <w:right w:val="single" w:color="auto" w:sz="4" w:space="0"/>
            </w:tcBorders>
            <w:shd w:val="clear" w:color="auto" w:fill="D9E2F3" w:themeFill="accent1" w:themeFillTint="33"/>
            <w:vAlign w:val="center"/>
          </w:tcPr>
          <w:p>
            <w:pPr>
              <w:jc w:val="center"/>
              <w:rPr>
                <w:rFonts w:hint="eastAsia" w:ascii="黑体" w:hAnsi="黑体" w:eastAsia="黑体" w:cs="仿宋"/>
                <w:b/>
                <w:bCs/>
                <w:sz w:val="22"/>
              </w:rPr>
            </w:pPr>
            <w:r>
              <w:rPr>
                <w:rFonts w:hint="eastAsia" w:ascii="黑体" w:hAnsi="黑体" w:eastAsia="黑体" w:cs="仿宋"/>
                <w:b/>
                <w:bCs/>
                <w:sz w:val="22"/>
              </w:rPr>
              <w:t>与远东的业务往来联系</w:t>
            </w:r>
          </w:p>
        </w:tc>
        <w:tc>
          <w:tcPr>
            <w:tcW w:w="2734" w:type="dxa"/>
            <w:gridSpan w:val="5"/>
            <w:tcBorders>
              <w:top w:val="single" w:color="auto" w:sz="12" w:space="0"/>
              <w:left w:val="single" w:color="auto" w:sz="8" w:space="0"/>
              <w:bottom w:val="single" w:color="auto" w:sz="4" w:space="0"/>
              <w:right w:val="single" w:color="auto" w:sz="4" w:space="0"/>
            </w:tcBorders>
            <w:vAlign w:val="center"/>
          </w:tcPr>
          <w:p>
            <w:pPr>
              <w:jc w:val="center"/>
              <w:rPr>
                <w:rFonts w:hint="eastAsia" w:ascii="仿宋" w:hAnsi="仿宋" w:eastAsia="仿宋" w:cs="仿宋"/>
                <w:b/>
                <w:bCs/>
                <w:sz w:val="22"/>
              </w:rPr>
            </w:pPr>
            <w:r>
              <w:rPr>
                <w:rFonts w:hint="eastAsia" w:ascii="仿宋" w:hAnsi="仿宋" w:eastAsia="仿宋" w:cs="仿宋"/>
                <w:b/>
                <w:bCs/>
                <w:sz w:val="22"/>
              </w:rPr>
              <w:t>合作起止时间</w:t>
            </w:r>
          </w:p>
        </w:tc>
        <w:tc>
          <w:tcPr>
            <w:tcW w:w="2973" w:type="dxa"/>
            <w:gridSpan w:val="4"/>
            <w:tcBorders>
              <w:top w:val="single" w:color="auto" w:sz="12" w:space="0"/>
              <w:left w:val="single" w:color="auto" w:sz="4" w:space="0"/>
              <w:bottom w:val="single" w:color="auto" w:sz="4" w:space="0"/>
              <w:right w:val="single" w:color="auto" w:sz="4" w:space="0"/>
            </w:tcBorders>
            <w:vAlign w:val="center"/>
          </w:tcPr>
          <w:p>
            <w:pPr>
              <w:jc w:val="center"/>
              <w:rPr>
                <w:rFonts w:hint="eastAsia" w:ascii="仿宋" w:hAnsi="仿宋" w:eastAsia="仿宋" w:cs="仿宋"/>
                <w:b/>
                <w:bCs/>
                <w:sz w:val="22"/>
              </w:rPr>
            </w:pPr>
            <w:r>
              <w:rPr>
                <w:rFonts w:hint="eastAsia" w:ascii="仿宋" w:hAnsi="仿宋" w:eastAsia="仿宋" w:cs="仿宋"/>
                <w:b/>
                <w:bCs/>
                <w:sz w:val="22"/>
              </w:rPr>
              <w:t>远东系公司名称</w:t>
            </w:r>
          </w:p>
        </w:tc>
        <w:tc>
          <w:tcPr>
            <w:tcW w:w="4337" w:type="dxa"/>
            <w:gridSpan w:val="8"/>
            <w:tcBorders>
              <w:top w:val="single" w:color="auto" w:sz="12" w:space="0"/>
              <w:left w:val="single" w:color="auto" w:sz="4" w:space="0"/>
              <w:bottom w:val="single" w:color="auto" w:sz="4" w:space="0"/>
              <w:right w:val="single" w:color="auto" w:sz="12" w:space="0"/>
            </w:tcBorders>
            <w:vAlign w:val="center"/>
          </w:tcPr>
          <w:p>
            <w:pPr>
              <w:jc w:val="center"/>
              <w:rPr>
                <w:rFonts w:hint="eastAsia" w:ascii="仿宋" w:hAnsi="仿宋" w:eastAsia="仿宋" w:cs="仿宋"/>
                <w:b/>
                <w:bCs/>
                <w:sz w:val="22"/>
              </w:rPr>
            </w:pPr>
            <w:r>
              <w:rPr>
                <w:rFonts w:hint="eastAsia" w:ascii="仿宋" w:hAnsi="仿宋" w:eastAsia="仿宋" w:cs="仿宋"/>
                <w:b/>
                <w:bCs/>
                <w:sz w:val="22"/>
              </w:rPr>
              <w:t>产品或服务项目</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56"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4337" w:type="dxa"/>
            <w:gridSpan w:val="8"/>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6"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4337" w:type="dxa"/>
            <w:gridSpan w:val="8"/>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7"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4337" w:type="dxa"/>
            <w:gridSpan w:val="8"/>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7"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1585" w:type="dxa"/>
            <w:gridSpan w:val="3"/>
            <w:vMerge w:val="restart"/>
            <w:tcBorders>
              <w:top w:val="single" w:color="auto" w:sz="4" w:space="0"/>
              <w:left w:val="single" w:color="auto" w:sz="8" w:space="0"/>
              <w:bottom w:val="single" w:color="auto" w:sz="4" w:space="0"/>
              <w:right w:val="single" w:color="auto" w:sz="4" w:space="0"/>
            </w:tcBorders>
            <w:vAlign w:val="center"/>
          </w:tcPr>
          <w:p>
            <w:pPr>
              <w:widowControl/>
              <w:jc w:val="center"/>
              <w:rPr>
                <w:rFonts w:hint="eastAsia" w:ascii="仿宋" w:hAnsi="仿宋" w:eastAsia="仿宋" w:cs="仿宋"/>
                <w:sz w:val="22"/>
              </w:rPr>
            </w:pPr>
            <w:r>
              <w:rPr>
                <w:rFonts w:hint="eastAsia" w:ascii="仿宋" w:hAnsi="仿宋" w:eastAsia="仿宋" w:cs="仿宋"/>
                <w:sz w:val="22"/>
              </w:rPr>
              <w:t>主管远东业务的领导</w:t>
            </w:r>
          </w:p>
        </w:tc>
        <w:tc>
          <w:tcPr>
            <w:tcW w:w="114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姓名</w:t>
            </w: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41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职务</w:t>
            </w:r>
          </w:p>
        </w:tc>
        <w:tc>
          <w:tcPr>
            <w:tcW w:w="2925" w:type="dxa"/>
            <w:gridSpan w:val="5"/>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7"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1585"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仿宋" w:hAnsi="仿宋" w:eastAsia="仿宋" w:cs="仿宋"/>
                <w:sz w:val="22"/>
              </w:rPr>
            </w:pPr>
          </w:p>
        </w:tc>
        <w:tc>
          <w:tcPr>
            <w:tcW w:w="114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电话</w:t>
            </w: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41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Email</w:t>
            </w:r>
          </w:p>
        </w:tc>
        <w:tc>
          <w:tcPr>
            <w:tcW w:w="2925" w:type="dxa"/>
            <w:gridSpan w:val="5"/>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7"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1585" w:type="dxa"/>
            <w:gridSpan w:val="3"/>
            <w:vMerge w:val="restart"/>
            <w:tcBorders>
              <w:top w:val="single" w:color="auto" w:sz="4" w:space="0"/>
              <w:left w:val="single" w:color="auto" w:sz="8" w:space="0"/>
              <w:bottom w:val="single" w:color="auto" w:sz="12" w:space="0"/>
              <w:right w:val="single" w:color="auto" w:sz="4" w:space="0"/>
            </w:tcBorders>
            <w:vAlign w:val="center"/>
          </w:tcPr>
          <w:p>
            <w:pPr>
              <w:widowControl/>
              <w:jc w:val="center"/>
              <w:rPr>
                <w:rFonts w:hint="eastAsia" w:ascii="仿宋" w:hAnsi="仿宋" w:eastAsia="仿宋" w:cs="仿宋"/>
                <w:sz w:val="22"/>
              </w:rPr>
            </w:pPr>
            <w:r>
              <w:rPr>
                <w:rFonts w:hint="eastAsia" w:ascii="仿宋" w:hAnsi="仿宋" w:eastAsia="仿宋" w:cs="仿宋"/>
                <w:sz w:val="22"/>
              </w:rPr>
              <w:t>日常联系人</w:t>
            </w:r>
          </w:p>
        </w:tc>
        <w:tc>
          <w:tcPr>
            <w:tcW w:w="1149"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姓名</w:t>
            </w: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411"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职务</w:t>
            </w:r>
          </w:p>
        </w:tc>
        <w:tc>
          <w:tcPr>
            <w:tcW w:w="2925" w:type="dxa"/>
            <w:gridSpan w:val="5"/>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17"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1585" w:type="dxa"/>
            <w:gridSpan w:val="3"/>
            <w:vMerge w:val="continue"/>
            <w:tcBorders>
              <w:top w:val="single" w:color="auto" w:sz="4" w:space="0"/>
              <w:left w:val="single" w:color="auto" w:sz="8" w:space="0"/>
              <w:bottom w:val="single" w:color="auto" w:sz="12" w:space="0"/>
              <w:right w:val="single" w:color="auto" w:sz="4" w:space="0"/>
            </w:tcBorders>
            <w:vAlign w:val="center"/>
          </w:tcPr>
          <w:p>
            <w:pPr>
              <w:widowControl/>
              <w:jc w:val="left"/>
              <w:rPr>
                <w:rFonts w:hint="eastAsia" w:ascii="仿宋" w:hAnsi="仿宋" w:eastAsia="仿宋" w:cs="仿宋"/>
                <w:sz w:val="22"/>
              </w:rPr>
            </w:pPr>
          </w:p>
        </w:tc>
        <w:tc>
          <w:tcPr>
            <w:tcW w:w="1149" w:type="dxa"/>
            <w:gridSpan w:val="2"/>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电话</w:t>
            </w:r>
          </w:p>
        </w:tc>
        <w:tc>
          <w:tcPr>
            <w:tcW w:w="2973" w:type="dxa"/>
            <w:gridSpan w:val="4"/>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p>
        </w:tc>
        <w:tc>
          <w:tcPr>
            <w:tcW w:w="1411" w:type="dxa"/>
            <w:gridSpan w:val="3"/>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r>
              <w:rPr>
                <w:rFonts w:hint="eastAsia" w:ascii="仿宋" w:hAnsi="仿宋" w:eastAsia="仿宋" w:cs="仿宋"/>
                <w:color w:val="000000"/>
                <w:kern w:val="0"/>
                <w:sz w:val="22"/>
              </w:rPr>
              <w:t>Email</w:t>
            </w:r>
          </w:p>
        </w:tc>
        <w:tc>
          <w:tcPr>
            <w:tcW w:w="2925" w:type="dxa"/>
            <w:gridSpan w:val="5"/>
            <w:tcBorders>
              <w:top w:val="single" w:color="auto" w:sz="4" w:space="0"/>
              <w:left w:val="single" w:color="auto" w:sz="4" w:space="0"/>
              <w:bottom w:val="single" w:color="auto" w:sz="12"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5" w:hRule="exact"/>
          <w:jc w:val="center"/>
        </w:trPr>
        <w:tc>
          <w:tcPr>
            <w:tcW w:w="741" w:type="dxa"/>
            <w:vMerge w:val="restart"/>
            <w:tcBorders>
              <w:top w:val="single" w:color="auto" w:sz="12" w:space="0"/>
              <w:left w:val="single" w:color="auto" w:sz="12" w:space="0"/>
              <w:bottom w:val="single" w:color="auto" w:sz="12" w:space="0"/>
              <w:right w:val="single" w:color="auto" w:sz="4" w:space="0"/>
            </w:tcBorders>
            <w:shd w:val="clear" w:color="auto" w:fill="D9E2F3" w:themeFill="accent1" w:themeFillTint="33"/>
            <w:vAlign w:val="center"/>
          </w:tcPr>
          <w:p>
            <w:pPr>
              <w:widowControl/>
              <w:jc w:val="center"/>
              <w:rPr>
                <w:rFonts w:hint="eastAsia" w:ascii="黑体" w:hAnsi="黑体" w:eastAsia="黑体" w:cs="仿宋"/>
                <w:b/>
                <w:bCs/>
                <w:sz w:val="22"/>
              </w:rPr>
            </w:pPr>
            <w:r>
              <w:rPr>
                <w:rFonts w:hint="eastAsia" w:ascii="黑体" w:hAnsi="黑体" w:eastAsia="黑体" w:cs="仿宋"/>
                <w:b/>
                <w:bCs/>
                <w:sz w:val="22"/>
              </w:rPr>
              <w:t>其他主要客户</w:t>
            </w:r>
          </w:p>
        </w:tc>
        <w:tc>
          <w:tcPr>
            <w:tcW w:w="2734" w:type="dxa"/>
            <w:gridSpan w:val="5"/>
            <w:tcBorders>
              <w:top w:val="single" w:color="auto" w:sz="12"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b/>
                <w:bCs/>
                <w:sz w:val="22"/>
              </w:rPr>
            </w:pPr>
            <w:r>
              <w:rPr>
                <w:rFonts w:hint="eastAsia" w:ascii="仿宋" w:hAnsi="仿宋" w:eastAsia="仿宋" w:cs="仿宋"/>
                <w:b/>
                <w:bCs/>
                <w:sz w:val="22"/>
              </w:rPr>
              <w:t>客户名称</w:t>
            </w:r>
          </w:p>
        </w:tc>
        <w:tc>
          <w:tcPr>
            <w:tcW w:w="2973" w:type="dxa"/>
            <w:gridSpan w:val="4"/>
            <w:tcBorders>
              <w:top w:val="single" w:color="auto" w:sz="12"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sz w:val="22"/>
              </w:rPr>
              <w:t>产品或服务项目</w:t>
            </w:r>
          </w:p>
        </w:tc>
        <w:tc>
          <w:tcPr>
            <w:tcW w:w="1994" w:type="dxa"/>
            <w:gridSpan w:val="5"/>
            <w:tcBorders>
              <w:top w:val="single" w:color="auto" w:sz="12"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sz w:val="22"/>
              </w:rPr>
              <w:t>合作起止日期</w:t>
            </w:r>
          </w:p>
        </w:tc>
        <w:tc>
          <w:tcPr>
            <w:tcW w:w="996" w:type="dxa"/>
            <w:gridSpan w:val="2"/>
            <w:tcBorders>
              <w:top w:val="single" w:color="auto" w:sz="12"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sz w:val="22"/>
              </w:rPr>
              <w:t>联系人</w:t>
            </w:r>
          </w:p>
        </w:tc>
        <w:tc>
          <w:tcPr>
            <w:tcW w:w="1346" w:type="dxa"/>
            <w:tcBorders>
              <w:top w:val="single" w:color="auto" w:sz="12"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b/>
                <w:bCs/>
                <w:color w:val="000000"/>
                <w:kern w:val="0"/>
                <w:sz w:val="22"/>
              </w:rPr>
            </w:pPr>
            <w:r>
              <w:rPr>
                <w:rFonts w:hint="eastAsia" w:ascii="仿宋" w:hAnsi="仿宋" w:eastAsia="仿宋" w:cs="仿宋"/>
                <w:b/>
                <w:bCs/>
                <w:sz w:val="22"/>
              </w:rPr>
              <w:t>手机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99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99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346" w:type="dxa"/>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994" w:type="dxa"/>
            <w:gridSpan w:val="5"/>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99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2"/>
              </w:rPr>
            </w:pPr>
          </w:p>
        </w:tc>
        <w:tc>
          <w:tcPr>
            <w:tcW w:w="1346" w:type="dxa"/>
            <w:tcBorders>
              <w:top w:val="single" w:color="auto" w:sz="4" w:space="0"/>
              <w:left w:val="single" w:color="auto" w:sz="4" w:space="0"/>
              <w:bottom w:val="single" w:color="auto" w:sz="4"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5" w:hRule="exact"/>
          <w:jc w:val="center"/>
        </w:trPr>
        <w:tc>
          <w:tcPr>
            <w:tcW w:w="741" w:type="dxa"/>
            <w:vMerge w:val="continue"/>
            <w:tcBorders>
              <w:top w:val="single" w:color="auto" w:sz="12" w:space="0"/>
              <w:left w:val="single" w:color="auto" w:sz="12" w:space="0"/>
              <w:bottom w:val="single" w:color="auto" w:sz="12" w:space="0"/>
              <w:right w:val="single" w:color="auto" w:sz="4" w:space="0"/>
            </w:tcBorders>
            <w:vAlign w:val="center"/>
          </w:tcPr>
          <w:p>
            <w:pPr>
              <w:widowControl/>
              <w:jc w:val="left"/>
              <w:rPr>
                <w:rFonts w:hint="eastAsia" w:ascii="黑体" w:hAnsi="黑体" w:eastAsia="黑体" w:cs="仿宋"/>
                <w:b/>
                <w:bCs/>
                <w:sz w:val="22"/>
              </w:rPr>
            </w:pPr>
          </w:p>
        </w:tc>
        <w:tc>
          <w:tcPr>
            <w:tcW w:w="2734" w:type="dxa"/>
            <w:gridSpan w:val="5"/>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sz w:val="22"/>
              </w:rPr>
            </w:pPr>
          </w:p>
        </w:tc>
        <w:tc>
          <w:tcPr>
            <w:tcW w:w="2973" w:type="dxa"/>
            <w:gridSpan w:val="4"/>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p>
        </w:tc>
        <w:tc>
          <w:tcPr>
            <w:tcW w:w="1994" w:type="dxa"/>
            <w:gridSpan w:val="5"/>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p>
        </w:tc>
        <w:tc>
          <w:tcPr>
            <w:tcW w:w="996" w:type="dxa"/>
            <w:gridSpan w:val="2"/>
            <w:tcBorders>
              <w:top w:val="single" w:color="auto" w:sz="4" w:space="0"/>
              <w:left w:val="single" w:color="auto" w:sz="4" w:space="0"/>
              <w:bottom w:val="single" w:color="auto" w:sz="12" w:space="0"/>
              <w:right w:val="single" w:color="auto" w:sz="4" w:space="0"/>
            </w:tcBorders>
            <w:vAlign w:val="center"/>
          </w:tcPr>
          <w:p>
            <w:pPr>
              <w:widowControl/>
              <w:jc w:val="center"/>
              <w:rPr>
                <w:rFonts w:hint="eastAsia" w:ascii="仿宋" w:hAnsi="仿宋" w:eastAsia="仿宋" w:cs="仿宋"/>
                <w:color w:val="000000"/>
                <w:kern w:val="0"/>
                <w:sz w:val="22"/>
              </w:rPr>
            </w:pPr>
          </w:p>
        </w:tc>
        <w:tc>
          <w:tcPr>
            <w:tcW w:w="1346" w:type="dxa"/>
            <w:tcBorders>
              <w:top w:val="single" w:color="auto" w:sz="4" w:space="0"/>
              <w:left w:val="single" w:color="auto" w:sz="4" w:space="0"/>
              <w:bottom w:val="single" w:color="auto" w:sz="12" w:space="0"/>
              <w:right w:val="single" w:color="auto" w:sz="12" w:space="0"/>
            </w:tcBorders>
            <w:vAlign w:val="center"/>
          </w:tcPr>
          <w:p>
            <w:pPr>
              <w:widowControl/>
              <w:jc w:val="center"/>
              <w:rPr>
                <w:rFonts w:hint="eastAsia" w:ascii="仿宋" w:hAnsi="仿宋" w:eastAsia="仿宋" w:cs="仿宋"/>
                <w:color w:val="000000"/>
                <w:kern w:val="0"/>
                <w:sz w:val="22"/>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91" w:hRule="atLeast"/>
          <w:jc w:val="center"/>
        </w:trPr>
        <w:tc>
          <w:tcPr>
            <w:tcW w:w="10787" w:type="dxa"/>
            <w:gridSpan w:val="18"/>
            <w:tcBorders>
              <w:top w:val="single" w:color="auto" w:sz="8" w:space="0"/>
              <w:left w:val="single" w:color="auto" w:sz="12" w:space="0"/>
              <w:bottom w:val="single" w:color="auto" w:sz="12" w:space="0"/>
              <w:right w:val="single" w:color="auto" w:sz="12" w:space="0"/>
            </w:tcBorders>
          </w:tcPr>
          <w:p>
            <w:pPr>
              <w:autoSpaceDE w:val="0"/>
              <w:autoSpaceDN w:val="0"/>
              <w:adjustRightInd w:val="0"/>
              <w:spacing w:line="288" w:lineRule="auto"/>
              <w:rPr>
                <w:rFonts w:hint="eastAsia" w:ascii="仿宋" w:hAnsi="仿宋" w:eastAsia="仿宋" w:cs="仿宋"/>
                <w:b/>
                <w:bCs/>
                <w:kern w:val="0"/>
                <w:sz w:val="24"/>
              </w:rPr>
            </w:pPr>
            <w:r>
              <w:rPr>
                <w:rFonts w:hint="eastAsia" w:ascii="仿宋" w:hAnsi="仿宋" w:eastAsia="仿宋" w:cs="仿宋"/>
                <w:b/>
                <w:bCs/>
                <w:kern w:val="0"/>
                <w:sz w:val="24"/>
              </w:rPr>
              <w:t>我司承诺：</w:t>
            </w:r>
          </w:p>
          <w:p>
            <w:pPr>
              <w:pStyle w:val="27"/>
              <w:numPr>
                <w:ilvl w:val="0"/>
                <w:numId w:val="10"/>
              </w:numPr>
              <w:autoSpaceDE w:val="0"/>
              <w:autoSpaceDN w:val="0"/>
              <w:adjustRightInd w:val="0"/>
              <w:spacing w:line="288" w:lineRule="auto"/>
              <w:ind w:right="17" w:rightChars="8" w:firstLineChars="0"/>
              <w:rPr>
                <w:rFonts w:hint="eastAsia" w:ascii="仿宋" w:hAnsi="仿宋" w:eastAsia="仿宋" w:cs="仿宋"/>
                <w:kern w:val="0"/>
                <w:sz w:val="24"/>
              </w:rPr>
            </w:pPr>
            <w:r>
              <w:rPr>
                <w:rFonts w:hint="eastAsia" w:ascii="仿宋" w:hAnsi="仿宋" w:eastAsia="仿宋" w:cs="仿宋"/>
                <w:kern w:val="0"/>
                <w:sz w:val="24"/>
              </w:rPr>
              <w:t>以上信息真实有效，远东如有需要，我司将无偿及时提供相关证明性材料；</w:t>
            </w:r>
          </w:p>
          <w:p>
            <w:pPr>
              <w:pStyle w:val="27"/>
              <w:numPr>
                <w:ilvl w:val="0"/>
                <w:numId w:val="10"/>
              </w:numPr>
              <w:autoSpaceDE w:val="0"/>
              <w:autoSpaceDN w:val="0"/>
              <w:adjustRightInd w:val="0"/>
              <w:spacing w:line="288" w:lineRule="auto"/>
              <w:ind w:right="17" w:rightChars="8" w:firstLineChars="0"/>
              <w:rPr>
                <w:rFonts w:hint="eastAsia" w:ascii="仿宋" w:hAnsi="仿宋" w:eastAsia="仿宋" w:cs="仿宋"/>
                <w:kern w:val="0"/>
                <w:sz w:val="24"/>
              </w:rPr>
            </w:pPr>
            <w:r>
              <w:rPr>
                <w:rFonts w:hint="eastAsia" w:ascii="仿宋" w:hAnsi="仿宋" w:eastAsia="仿宋" w:cs="仿宋"/>
                <w:kern w:val="0"/>
                <w:sz w:val="24"/>
              </w:rPr>
              <w:t>我司或我司股东或我司实际控制人有参股或管理或亲属关系的其他利益相关公司参与远东采购事项前，我司将主动书面申明此类情形并获得远东公司书面同意后参与；</w:t>
            </w:r>
          </w:p>
          <w:p>
            <w:pPr>
              <w:pStyle w:val="27"/>
              <w:numPr>
                <w:ilvl w:val="0"/>
                <w:numId w:val="10"/>
              </w:numPr>
              <w:autoSpaceDE w:val="0"/>
              <w:autoSpaceDN w:val="0"/>
              <w:adjustRightInd w:val="0"/>
              <w:spacing w:line="288" w:lineRule="auto"/>
              <w:ind w:right="17" w:rightChars="8" w:firstLineChars="0"/>
              <w:rPr>
                <w:rFonts w:hint="eastAsia" w:ascii="仿宋" w:hAnsi="仿宋" w:eastAsia="仿宋" w:cs="仿宋"/>
                <w:kern w:val="0"/>
                <w:sz w:val="24"/>
              </w:rPr>
            </w:pPr>
            <w:r>
              <w:rPr>
                <w:rFonts w:hint="eastAsia" w:ascii="仿宋" w:hAnsi="仿宋" w:eastAsia="仿宋" w:cs="仿宋"/>
                <w:kern w:val="0"/>
                <w:sz w:val="24"/>
              </w:rPr>
              <w:t>当“基本信息”出现变化或第2条承诺情形出现时，我司将立即更新并提交远东公司签收。</w:t>
            </w:r>
          </w:p>
          <w:p>
            <w:pPr>
              <w:autoSpaceDE w:val="0"/>
              <w:autoSpaceDN w:val="0"/>
              <w:adjustRightInd w:val="0"/>
              <w:spacing w:line="288" w:lineRule="auto"/>
              <w:ind w:right="17" w:rightChars="8" w:firstLine="480" w:firstLineChars="200"/>
              <w:rPr>
                <w:rFonts w:hint="eastAsia" w:ascii="仿宋" w:hAnsi="仿宋" w:eastAsia="仿宋" w:cs="仿宋"/>
                <w:b/>
                <w:bCs/>
                <w:kern w:val="0"/>
                <w:sz w:val="24"/>
              </w:rPr>
            </w:pPr>
            <w:r>
              <w:rPr>
                <w:rFonts w:hint="eastAsia" w:ascii="仿宋" w:hAnsi="仿宋" w:eastAsia="仿宋" w:cs="仿宋"/>
                <w:b/>
                <w:bCs/>
                <w:kern w:val="0"/>
                <w:sz w:val="24"/>
              </w:rPr>
              <w:t>我司如违反上述承诺的约定，同意承担违约期间与远东签订合同总额的最高不超过200%的违约金，该违约金为正式采购合同外的额外条款。</w:t>
            </w:r>
          </w:p>
          <w:p>
            <w:pPr>
              <w:autoSpaceDE w:val="0"/>
              <w:autoSpaceDN w:val="0"/>
              <w:adjustRightInd w:val="0"/>
              <w:ind w:right="17" w:rightChars="8"/>
              <w:jc w:val="center"/>
              <w:rPr>
                <w:rFonts w:hint="eastAsia" w:ascii="仿宋" w:hAnsi="仿宋" w:eastAsia="仿宋" w:cs="仿宋"/>
                <w:kern w:val="0"/>
                <w:sz w:val="24"/>
              </w:rPr>
            </w:pPr>
          </w:p>
          <w:p>
            <w:pPr>
              <w:autoSpaceDE w:val="0"/>
              <w:autoSpaceDN w:val="0"/>
              <w:adjustRightInd w:val="0"/>
              <w:ind w:right="17" w:rightChars="8"/>
              <w:jc w:val="center"/>
              <w:rPr>
                <w:rFonts w:hint="eastAsia" w:ascii="仿宋" w:hAnsi="仿宋" w:eastAsia="仿宋" w:cs="仿宋"/>
                <w:kern w:val="0"/>
                <w:sz w:val="24"/>
              </w:rPr>
            </w:pPr>
            <w:r>
              <w:rPr>
                <w:rFonts w:hint="eastAsia" w:ascii="仿宋" w:hAnsi="仿宋" w:eastAsia="仿宋" w:cs="仿宋"/>
                <w:kern w:val="0"/>
                <w:sz w:val="24"/>
              </w:rPr>
              <w:t>总经理（加盖公司公章）：                   日期：</w:t>
            </w:r>
          </w:p>
        </w:tc>
      </w:tr>
    </w:tbl>
    <w:p/>
    <w:p>
      <w:pPr>
        <w:pStyle w:val="3"/>
        <w:numPr>
          <w:ilvl w:val="0"/>
          <w:numId w:val="11"/>
        </w:numPr>
        <w:spacing w:before="0" w:after="0" w:line="500" w:lineRule="exact"/>
        <w:ind w:left="489" w:hanging="720"/>
        <w:jc w:val="center"/>
        <w:rPr>
          <w:rFonts w:hint="eastAsia" w:ascii="仿宋" w:hAnsi="仿宋"/>
          <w:sz w:val="24"/>
          <w:szCs w:val="24"/>
        </w:rPr>
      </w:pPr>
      <w:bookmarkStart w:id="221" w:name="_Toc202442873"/>
      <w:bookmarkStart w:id="222" w:name="_Toc119663031"/>
      <w:r>
        <w:rPr>
          <w:rFonts w:hint="eastAsia" w:ascii="仿宋" w:hAnsi="仿宋"/>
          <w:sz w:val="24"/>
          <w:szCs w:val="24"/>
        </w:rPr>
        <w:t>商务偏差表</w:t>
      </w:r>
      <w:bookmarkEnd w:id="221"/>
      <w:bookmarkEnd w:id="222"/>
    </w:p>
    <w:p>
      <w:pPr>
        <w:spacing w:line="500" w:lineRule="exact"/>
        <w:ind w:firstLine="480"/>
        <w:rPr>
          <w:rFonts w:hint="eastAsia" w:ascii="仿宋" w:hAnsi="仿宋"/>
          <w:sz w:val="24"/>
        </w:rPr>
      </w:pPr>
      <w:r>
        <w:rPr>
          <w:rFonts w:hint="eastAsia" w:ascii="仿宋" w:hAnsi="仿宋"/>
          <w:sz w:val="24"/>
        </w:rPr>
        <w:t>投标人名称：</w:t>
      </w:r>
      <w:r>
        <w:rPr>
          <w:rFonts w:hint="eastAsia" w:ascii="仿宋" w:hAnsi="仿宋"/>
          <w:sz w:val="24"/>
          <w:u w:val="single"/>
        </w:rPr>
        <w:t xml:space="preserve">                  </w:t>
      </w:r>
      <w:r>
        <w:rPr>
          <w:rFonts w:hint="eastAsia" w:ascii="仿宋" w:hAnsi="仿宋"/>
          <w:sz w:val="24"/>
        </w:rPr>
        <w:t xml:space="preserve"> </w:t>
      </w:r>
    </w:p>
    <w:tbl>
      <w:tblPr>
        <w:tblStyle w:val="19"/>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233"/>
        <w:gridCol w:w="1898"/>
        <w:gridCol w:w="2047"/>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r>
              <w:rPr>
                <w:rFonts w:hint="eastAsia" w:ascii="仿宋" w:hAnsi="仿宋"/>
                <w:sz w:val="24"/>
              </w:rPr>
              <w:t>序号</w:t>
            </w: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hint="eastAsia" w:ascii="仿宋" w:hAnsi="仿宋"/>
                <w:sz w:val="24"/>
              </w:rPr>
            </w:pPr>
            <w:r>
              <w:rPr>
                <w:rFonts w:hint="eastAsia" w:ascii="仿宋" w:hAnsi="仿宋"/>
                <w:sz w:val="24"/>
              </w:rPr>
              <w:t>招标文件条目号</w:t>
            </w: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sz w:val="24"/>
              </w:rPr>
            </w:pPr>
            <w:r>
              <w:rPr>
                <w:rFonts w:hint="eastAsia" w:ascii="仿宋" w:hAnsi="仿宋"/>
                <w:sz w:val="24"/>
              </w:rPr>
              <w:t>招标文件条款</w:t>
            </w: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sz w:val="24"/>
              </w:rPr>
            </w:pPr>
            <w:r>
              <w:rPr>
                <w:rFonts w:hint="eastAsia" w:ascii="仿宋" w:hAnsi="仿宋"/>
                <w:sz w:val="24"/>
              </w:rPr>
              <w:t>投标文件条款</w:t>
            </w: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sz w:val="24"/>
              </w:rPr>
            </w:pPr>
            <w:r>
              <w:rPr>
                <w:rFonts w:hint="eastAsia" w:ascii="仿宋" w:hAnsi="仿宋"/>
                <w:sz w:val="24"/>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p>
            <w:pPr>
              <w:pStyle w:val="36"/>
              <w:spacing w:line="500" w:lineRule="exact"/>
              <w:rPr>
                <w:rFonts w:hint="eastAsia"/>
                <w:sz w:val="24"/>
                <w:szCs w:val="24"/>
              </w:rPr>
            </w:pPr>
          </w:p>
          <w:p>
            <w:pPr>
              <w:pStyle w:val="36"/>
              <w:spacing w:line="500" w:lineRule="exact"/>
              <w:rPr>
                <w:rFonts w:hint="eastAsia"/>
                <w:sz w:val="24"/>
                <w:szCs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709"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233"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1898"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7"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c>
          <w:tcPr>
            <w:tcW w:w="2044" w:type="dxa"/>
            <w:tcBorders>
              <w:top w:val="single" w:color="auto" w:sz="4" w:space="0"/>
              <w:left w:val="single" w:color="auto" w:sz="4" w:space="0"/>
              <w:bottom w:val="single" w:color="auto" w:sz="4" w:space="0"/>
              <w:right w:val="single" w:color="auto" w:sz="4" w:space="0"/>
            </w:tcBorders>
            <w:vAlign w:val="center"/>
          </w:tcPr>
          <w:p>
            <w:pPr>
              <w:spacing w:line="500" w:lineRule="exact"/>
              <w:ind w:left="821" w:firstLine="480"/>
              <w:rPr>
                <w:rFonts w:hint="eastAsia" w:ascii="仿宋" w:hAnsi="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exact"/>
        </w:trPr>
        <w:tc>
          <w:tcPr>
            <w:tcW w:w="8931" w:type="dxa"/>
            <w:gridSpan w:val="5"/>
            <w:tcBorders>
              <w:top w:val="single" w:color="auto" w:sz="4" w:space="0"/>
              <w:left w:val="single" w:color="auto" w:sz="4" w:space="0"/>
              <w:bottom w:val="single" w:color="auto" w:sz="4" w:space="0"/>
              <w:right w:val="single" w:color="auto" w:sz="4" w:space="0"/>
            </w:tcBorders>
            <w:vAlign w:val="center"/>
          </w:tcPr>
          <w:p>
            <w:pPr>
              <w:spacing w:line="500" w:lineRule="exact"/>
              <w:rPr>
                <w:rFonts w:hint="eastAsia" w:ascii="仿宋" w:hAnsi="仿宋"/>
                <w:b/>
                <w:sz w:val="24"/>
              </w:rPr>
            </w:pPr>
            <w:r>
              <w:rPr>
                <w:rFonts w:hint="eastAsia" w:ascii="仿宋" w:hAnsi="仿宋"/>
                <w:b/>
                <w:sz w:val="24"/>
              </w:rPr>
              <w:t>投标人声明：针对本招标标的，除本表已列明偏差外，我们接受招标文件规定的其余全部商务条件，并承诺按照招标文件规定的商务条件提供对应产品和服务。</w:t>
            </w:r>
          </w:p>
        </w:tc>
      </w:tr>
    </w:tbl>
    <w:p>
      <w:pPr>
        <w:spacing w:line="500" w:lineRule="exact"/>
        <w:ind w:firstLine="560"/>
        <w:rPr>
          <w:rFonts w:hint="eastAsia" w:ascii="仿宋" w:hAnsi="仿宋"/>
          <w:szCs w:val="28"/>
        </w:rPr>
      </w:pPr>
    </w:p>
    <w:p>
      <w:pPr>
        <w:spacing w:line="500" w:lineRule="exact"/>
        <w:ind w:firstLine="480"/>
        <w:rPr>
          <w:rFonts w:hint="eastAsia" w:ascii="仿宋" w:hAnsi="仿宋"/>
          <w:sz w:val="24"/>
        </w:rPr>
      </w:pPr>
      <w:r>
        <w:rPr>
          <w:rFonts w:hint="eastAsia" w:ascii="仿宋" w:hAnsi="仿宋"/>
          <w:sz w:val="24"/>
        </w:rPr>
        <w:t>投标人：（盖单位章）</w:t>
      </w:r>
    </w:p>
    <w:p>
      <w:pPr>
        <w:spacing w:line="500" w:lineRule="exact"/>
        <w:ind w:firstLine="480"/>
        <w:rPr>
          <w:rFonts w:hint="eastAsia" w:ascii="仿宋" w:hAnsi="仿宋"/>
          <w:sz w:val="24"/>
        </w:rPr>
      </w:pPr>
      <w:r>
        <w:rPr>
          <w:rFonts w:hint="eastAsia" w:ascii="仿宋" w:hAnsi="仿宋"/>
          <w:sz w:val="24"/>
        </w:rPr>
        <w:t>法定代表人或其授权代表人：                   （签字或盖章）</w:t>
      </w:r>
    </w:p>
    <w:p>
      <w:pPr>
        <w:spacing w:line="500" w:lineRule="exact"/>
        <w:ind w:firstLine="480"/>
        <w:rPr>
          <w:rFonts w:hint="eastAsia" w:ascii="仿宋" w:hAnsi="仿宋"/>
          <w:sz w:val="24"/>
        </w:rPr>
      </w:pPr>
      <w:r>
        <w:rPr>
          <w:rFonts w:hint="eastAsia" w:ascii="仿宋" w:hAnsi="仿宋"/>
          <w:sz w:val="24"/>
        </w:rPr>
        <w:t>日期：    年   月  日</w:t>
      </w:r>
    </w:p>
    <w:p>
      <w:pPr>
        <w:pStyle w:val="36"/>
        <w:rPr>
          <w:rFonts w:hint="eastAsia"/>
          <w:sz w:val="24"/>
          <w:szCs w:val="24"/>
        </w:rPr>
      </w:pPr>
    </w:p>
    <w:p>
      <w:pPr>
        <w:pStyle w:val="36"/>
        <w:rPr>
          <w:rFonts w:hint="eastAsia"/>
          <w:sz w:val="24"/>
          <w:szCs w:val="24"/>
        </w:rPr>
      </w:pPr>
    </w:p>
    <w:p>
      <w:pPr>
        <w:pStyle w:val="36"/>
        <w:rPr>
          <w:rFonts w:hint="eastAsia"/>
        </w:rPr>
      </w:pPr>
    </w:p>
    <w:p>
      <w:pPr>
        <w:pStyle w:val="36"/>
        <w:rPr>
          <w:rFonts w:hint="eastAsia"/>
        </w:rPr>
      </w:pPr>
    </w:p>
    <w:p>
      <w:pPr>
        <w:pStyle w:val="36"/>
        <w:rPr>
          <w:rFonts w:hint="eastAsia"/>
        </w:rPr>
      </w:pPr>
    </w:p>
    <w:p>
      <w:pPr>
        <w:pStyle w:val="36"/>
        <w:rPr>
          <w:rFonts w:hint="eastAsia"/>
        </w:rPr>
      </w:pPr>
    </w:p>
    <w:p>
      <w:pPr>
        <w:pStyle w:val="3"/>
        <w:numPr>
          <w:ilvl w:val="0"/>
          <w:numId w:val="11"/>
        </w:numPr>
        <w:spacing w:before="0" w:after="0" w:line="500" w:lineRule="exact"/>
        <w:ind w:left="489" w:hanging="720"/>
        <w:jc w:val="center"/>
        <w:rPr>
          <w:rFonts w:hint="eastAsia" w:ascii="仿宋" w:hAnsi="仿宋"/>
          <w:sz w:val="24"/>
          <w:szCs w:val="24"/>
        </w:rPr>
      </w:pPr>
      <w:bookmarkStart w:id="223" w:name="_Toc202442874"/>
      <w:bookmarkStart w:id="224" w:name="_Toc119663032"/>
      <w:r>
        <w:rPr>
          <w:rFonts w:ascii="仿宋" w:hAnsi="仿宋"/>
          <w:sz w:val="24"/>
          <w:szCs w:val="24"/>
        </w:rPr>
        <w:t>法定代表人身份证明格式</w:t>
      </w:r>
      <w:bookmarkEnd w:id="223"/>
      <w:bookmarkEnd w:id="224"/>
    </w:p>
    <w:p>
      <w:pPr>
        <w:pStyle w:val="36"/>
        <w:spacing w:line="500" w:lineRule="exact"/>
        <w:rPr>
          <w:rFonts w:hint="eastAsia"/>
          <w:sz w:val="24"/>
          <w:szCs w:val="24"/>
        </w:rPr>
      </w:pPr>
    </w:p>
    <w:p>
      <w:pPr>
        <w:spacing w:line="500" w:lineRule="exact"/>
        <w:ind w:firstLine="480"/>
        <w:rPr>
          <w:rFonts w:hint="eastAsia" w:ascii="仿宋" w:hAnsi="仿宋"/>
          <w:sz w:val="24"/>
        </w:rPr>
      </w:pPr>
      <w:r>
        <w:rPr>
          <w:rFonts w:ascii="仿宋" w:hAnsi="仿宋"/>
          <w:sz w:val="24"/>
        </w:rPr>
        <w:t>投标人名称：</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w:t>
      </w:r>
    </w:p>
    <w:p>
      <w:pPr>
        <w:spacing w:line="500" w:lineRule="exact"/>
        <w:ind w:firstLine="480"/>
        <w:rPr>
          <w:rFonts w:hint="eastAsia" w:ascii="仿宋" w:hAnsi="仿宋"/>
          <w:sz w:val="24"/>
        </w:rPr>
      </w:pPr>
      <w:r>
        <w:rPr>
          <w:rFonts w:ascii="仿宋" w:hAnsi="仿宋"/>
          <w:sz w:val="24"/>
        </w:rPr>
        <w:t>单位性质：</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w:t>
      </w:r>
    </w:p>
    <w:p>
      <w:pPr>
        <w:spacing w:line="500" w:lineRule="exact"/>
        <w:ind w:firstLine="480"/>
        <w:rPr>
          <w:rFonts w:hint="eastAsia" w:ascii="仿宋" w:hAnsi="仿宋"/>
          <w:sz w:val="24"/>
        </w:rPr>
      </w:pPr>
      <w:r>
        <w:rPr>
          <w:rFonts w:ascii="仿宋" w:hAnsi="仿宋"/>
          <w:sz w:val="24"/>
        </w:rPr>
        <w:t>地</w:t>
      </w:r>
      <w:r>
        <w:rPr>
          <w:rFonts w:hint="eastAsia" w:ascii="仿宋" w:hAnsi="仿宋"/>
          <w:sz w:val="24"/>
        </w:rPr>
        <w:t xml:space="preserve">    </w:t>
      </w:r>
      <w:r>
        <w:rPr>
          <w:rFonts w:ascii="仿宋" w:hAnsi="仿宋"/>
          <w:sz w:val="24"/>
        </w:rPr>
        <w:t>址：</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p>
    <w:p>
      <w:pPr>
        <w:spacing w:line="500" w:lineRule="exact"/>
        <w:ind w:firstLine="480"/>
        <w:rPr>
          <w:rFonts w:hint="eastAsia" w:ascii="仿宋" w:hAnsi="仿宋"/>
          <w:sz w:val="24"/>
        </w:rPr>
      </w:pPr>
      <w:r>
        <w:rPr>
          <w:rFonts w:ascii="仿宋" w:hAnsi="仿宋"/>
          <w:sz w:val="24"/>
        </w:rPr>
        <w:t>成立时间：</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年</w:t>
      </w:r>
      <w:r>
        <w:rPr>
          <w:rFonts w:ascii="仿宋" w:hAnsi="仿宋"/>
          <w:sz w:val="24"/>
          <w:u w:val="single"/>
        </w:rPr>
        <w:t xml:space="preserve">      </w:t>
      </w:r>
      <w:r>
        <w:rPr>
          <w:rFonts w:ascii="仿宋" w:hAnsi="仿宋"/>
          <w:sz w:val="24"/>
        </w:rPr>
        <w:t xml:space="preserve"> 月</w:t>
      </w:r>
      <w:r>
        <w:rPr>
          <w:rFonts w:ascii="仿宋" w:hAnsi="仿宋"/>
          <w:sz w:val="24"/>
          <w:u w:val="single"/>
        </w:rPr>
        <w:t xml:space="preserve">       </w:t>
      </w:r>
      <w:r>
        <w:rPr>
          <w:rFonts w:ascii="仿宋" w:hAnsi="仿宋"/>
          <w:sz w:val="24"/>
        </w:rPr>
        <w:t xml:space="preserve"> 日</w:t>
      </w:r>
    </w:p>
    <w:p>
      <w:pPr>
        <w:spacing w:line="500" w:lineRule="exact"/>
        <w:ind w:firstLine="480"/>
        <w:rPr>
          <w:rFonts w:hint="eastAsia" w:ascii="仿宋" w:hAnsi="仿宋"/>
          <w:sz w:val="24"/>
        </w:rPr>
      </w:pPr>
      <w:r>
        <w:rPr>
          <w:rFonts w:ascii="仿宋" w:hAnsi="仿宋"/>
          <w:sz w:val="24"/>
        </w:rPr>
        <w:t>经营期限：</w:t>
      </w:r>
      <w:r>
        <w:rPr>
          <w:rFonts w:ascii="仿宋" w:hAnsi="仿宋"/>
          <w:sz w:val="24"/>
          <w:u w:val="single"/>
        </w:rPr>
        <w:t xml:space="preserve">        </w:t>
      </w:r>
    </w:p>
    <w:p>
      <w:pPr>
        <w:spacing w:line="500" w:lineRule="exact"/>
        <w:ind w:firstLine="480"/>
        <w:rPr>
          <w:rFonts w:hint="eastAsia" w:ascii="仿宋" w:hAnsi="仿宋"/>
          <w:sz w:val="24"/>
        </w:rPr>
      </w:pPr>
      <w:r>
        <w:rPr>
          <w:rFonts w:ascii="仿宋" w:hAnsi="仿宋"/>
          <w:sz w:val="24"/>
        </w:rPr>
        <w:t>姓名：</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性别：</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年龄：</w:t>
      </w:r>
      <w:r>
        <w:rPr>
          <w:rFonts w:ascii="仿宋" w:hAnsi="仿宋"/>
          <w:sz w:val="24"/>
          <w:u w:val="single"/>
        </w:rPr>
        <w:t xml:space="preserve">  </w:t>
      </w:r>
      <w:r>
        <w:rPr>
          <w:rFonts w:hint="eastAsia" w:ascii="仿宋" w:hAnsi="仿宋"/>
          <w:sz w:val="24"/>
          <w:u w:val="single"/>
        </w:rPr>
        <w:t xml:space="preserve">     </w:t>
      </w:r>
      <w:r>
        <w:rPr>
          <w:rFonts w:ascii="仿宋" w:hAnsi="仿宋"/>
          <w:sz w:val="24"/>
        </w:rPr>
        <w:t>职务：</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p>
    <w:p>
      <w:pPr>
        <w:spacing w:line="500" w:lineRule="exact"/>
        <w:ind w:firstLine="480"/>
        <w:rPr>
          <w:rFonts w:hint="eastAsia" w:ascii="仿宋" w:hAnsi="仿宋"/>
          <w:sz w:val="24"/>
        </w:rPr>
      </w:pPr>
      <w:r>
        <w:rPr>
          <w:rFonts w:ascii="仿宋" w:hAnsi="仿宋"/>
          <w:sz w:val="24"/>
        </w:rPr>
        <w:t>系</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 xml:space="preserve"> 的法定代表人。</w:t>
      </w:r>
    </w:p>
    <w:p>
      <w:pPr>
        <w:spacing w:line="500" w:lineRule="exact"/>
        <w:ind w:firstLine="480"/>
        <w:rPr>
          <w:rFonts w:hint="eastAsia" w:ascii="仿宋" w:hAnsi="仿宋"/>
          <w:sz w:val="24"/>
        </w:rPr>
      </w:pPr>
      <w:r>
        <w:rPr>
          <w:rFonts w:ascii="仿宋" w:hAnsi="仿宋"/>
          <w:sz w:val="24"/>
        </w:rPr>
        <w:t>特此证明。</w:t>
      </w:r>
    </w:p>
    <w:p>
      <w:pPr>
        <w:spacing w:line="500" w:lineRule="exact"/>
        <w:ind w:firstLine="480"/>
        <w:rPr>
          <w:rFonts w:hint="eastAsia" w:ascii="仿宋" w:hAnsi="仿宋"/>
          <w:sz w:val="24"/>
        </w:rPr>
      </w:pPr>
    </w:p>
    <w:p>
      <w:pPr>
        <w:spacing w:line="500" w:lineRule="exact"/>
        <w:ind w:firstLine="480"/>
        <w:rPr>
          <w:rFonts w:hint="eastAsia" w:ascii="仿宋" w:hAnsi="仿宋"/>
          <w:sz w:val="24"/>
        </w:rPr>
      </w:pPr>
    </w:p>
    <w:p>
      <w:pPr>
        <w:spacing w:line="500" w:lineRule="exact"/>
        <w:ind w:firstLine="480"/>
        <w:rPr>
          <w:rFonts w:hint="eastAsia" w:ascii="仿宋" w:hAnsi="仿宋"/>
          <w:sz w:val="24"/>
        </w:rPr>
      </w:pPr>
      <w:r>
        <w:rPr>
          <w:rFonts w:ascii="仿宋" w:hAnsi="仿宋"/>
          <w:sz w:val="24"/>
        </w:rPr>
        <w:t xml:space="preserve">                        </w:t>
      </w:r>
      <w:r>
        <w:rPr>
          <w:rFonts w:hint="eastAsia" w:ascii="仿宋" w:hAnsi="仿宋"/>
          <w:sz w:val="24"/>
        </w:rPr>
        <w:t xml:space="preserve">  </w:t>
      </w:r>
      <w:r>
        <w:rPr>
          <w:rFonts w:ascii="仿宋" w:hAnsi="仿宋"/>
          <w:sz w:val="24"/>
        </w:rPr>
        <w:t>投标人</w:t>
      </w:r>
      <w:r>
        <w:rPr>
          <w:rFonts w:hint="eastAsia" w:ascii="仿宋" w:hAnsi="仿宋"/>
          <w:sz w:val="24"/>
        </w:rPr>
        <w:t>签字（盖公章）</w:t>
      </w:r>
      <w:r>
        <w:rPr>
          <w:rFonts w:ascii="仿宋" w:hAnsi="仿宋"/>
          <w:sz w:val="24"/>
        </w:rPr>
        <w:t>：</w:t>
      </w:r>
      <w:r>
        <w:rPr>
          <w:rFonts w:ascii="仿宋" w:hAnsi="仿宋"/>
          <w:sz w:val="24"/>
          <w:u w:val="single"/>
        </w:rPr>
        <w:t xml:space="preserve">  </w:t>
      </w:r>
      <w:r>
        <w:rPr>
          <w:rFonts w:hint="eastAsia" w:ascii="仿宋" w:hAnsi="仿宋"/>
          <w:sz w:val="24"/>
          <w:u w:val="single"/>
        </w:rPr>
        <w:t xml:space="preserve">                  </w:t>
      </w:r>
    </w:p>
    <w:p>
      <w:pPr>
        <w:spacing w:line="500" w:lineRule="exact"/>
        <w:ind w:firstLine="480"/>
        <w:rPr>
          <w:rFonts w:hint="eastAsia" w:ascii="仿宋" w:hAnsi="仿宋"/>
          <w:sz w:val="24"/>
        </w:rPr>
      </w:pPr>
      <w:r>
        <w:rPr>
          <w:rFonts w:ascii="仿宋" w:hAnsi="仿宋"/>
          <w:sz w:val="24"/>
        </w:rPr>
        <w:t xml:space="preserve">                              </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年</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月</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日</w:t>
      </w:r>
    </w:p>
    <w:p>
      <w:pPr>
        <w:pStyle w:val="3"/>
        <w:numPr>
          <w:ilvl w:val="0"/>
          <w:numId w:val="11"/>
        </w:numPr>
        <w:spacing w:before="0" w:after="0" w:line="500" w:lineRule="exact"/>
        <w:ind w:left="489" w:hanging="720"/>
        <w:jc w:val="center"/>
        <w:rPr>
          <w:rFonts w:hint="eastAsia" w:ascii="仿宋" w:hAnsi="仿宋"/>
          <w:sz w:val="24"/>
          <w:szCs w:val="24"/>
        </w:rPr>
      </w:pPr>
      <w:r>
        <w:br w:type="page"/>
      </w:r>
      <w:bookmarkStart w:id="225" w:name="_Toc202442875"/>
      <w:bookmarkStart w:id="226" w:name="_Toc119663033"/>
      <w:r>
        <w:rPr>
          <w:rFonts w:ascii="仿宋" w:hAnsi="仿宋"/>
          <w:sz w:val="24"/>
          <w:szCs w:val="24"/>
        </w:rPr>
        <w:t>授权委托书格式</w:t>
      </w:r>
      <w:bookmarkEnd w:id="225"/>
      <w:bookmarkEnd w:id="226"/>
    </w:p>
    <w:p>
      <w:pPr>
        <w:pStyle w:val="10"/>
        <w:snapToGrid w:val="0"/>
        <w:spacing w:line="500" w:lineRule="exact"/>
        <w:ind w:firstLine="0" w:firstLineChars="0"/>
        <w:rPr>
          <w:rFonts w:hint="eastAsia" w:ascii="仿宋" w:hAnsi="仿宋" w:eastAsia="仿宋"/>
          <w:sz w:val="24"/>
          <w:szCs w:val="24"/>
        </w:rPr>
      </w:pPr>
    </w:p>
    <w:p>
      <w:pPr>
        <w:pStyle w:val="10"/>
        <w:snapToGrid w:val="0"/>
        <w:spacing w:line="500" w:lineRule="exact"/>
        <w:ind w:firstLine="0" w:firstLineChars="0"/>
        <w:rPr>
          <w:rFonts w:hint="eastAsia" w:ascii="仿宋" w:hAnsi="仿宋" w:eastAsia="仿宋"/>
          <w:sz w:val="24"/>
          <w:szCs w:val="24"/>
        </w:rPr>
      </w:pP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本授权书声明：注册于</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ascii="仿宋" w:hAnsi="仿宋" w:eastAsia="仿宋"/>
          <w:sz w:val="24"/>
          <w:szCs w:val="24"/>
        </w:rPr>
        <w:t>省</w:t>
      </w:r>
      <w:r>
        <w:rPr>
          <w:rFonts w:ascii="仿宋" w:hAnsi="仿宋" w:eastAsia="仿宋"/>
          <w:sz w:val="24"/>
          <w:szCs w:val="24"/>
          <w:u w:val="single"/>
        </w:rPr>
        <w:t xml:space="preserve">    </w:t>
      </w:r>
      <w:r>
        <w:rPr>
          <w:rFonts w:ascii="仿宋" w:hAnsi="仿宋" w:eastAsia="仿宋"/>
          <w:sz w:val="24"/>
          <w:szCs w:val="24"/>
        </w:rPr>
        <w:t>市</w:t>
      </w:r>
      <w:r>
        <w:rPr>
          <w:rFonts w:ascii="仿宋" w:hAnsi="仿宋" w:eastAsia="仿宋"/>
          <w:sz w:val="24"/>
          <w:szCs w:val="24"/>
          <w:u w:val="single"/>
        </w:rPr>
        <w:t xml:space="preserve">    </w:t>
      </w:r>
      <w:r>
        <w:rPr>
          <w:rFonts w:hint="eastAsia" w:ascii="仿宋" w:hAnsi="仿宋" w:eastAsia="仿宋"/>
          <w:sz w:val="24"/>
          <w:szCs w:val="24"/>
        </w:rPr>
        <w:t>市</w:t>
      </w:r>
      <w:r>
        <w:rPr>
          <w:rFonts w:ascii="仿宋" w:hAnsi="仿宋" w:eastAsia="仿宋"/>
          <w:sz w:val="24"/>
          <w:szCs w:val="24"/>
        </w:rPr>
        <w:t>工商管理局的</w:t>
      </w:r>
      <w:r>
        <w:rPr>
          <w:rFonts w:hint="eastAsia" w:ascii="仿宋" w:hAnsi="仿宋" w:eastAsia="仿宋"/>
          <w:sz w:val="24"/>
          <w:szCs w:val="24"/>
          <w:u w:val="single"/>
        </w:rPr>
        <w:t xml:space="preserve">   （公司名称）   </w:t>
      </w:r>
      <w:r>
        <w:rPr>
          <w:rFonts w:ascii="仿宋" w:hAnsi="仿宋" w:eastAsia="仿宋"/>
          <w:sz w:val="24"/>
          <w:szCs w:val="24"/>
        </w:rPr>
        <w:t>在下面签字的</w:t>
      </w:r>
      <w:r>
        <w:rPr>
          <w:rFonts w:hint="eastAsia" w:ascii="仿宋" w:hAnsi="仿宋" w:eastAsia="仿宋"/>
          <w:sz w:val="24"/>
          <w:szCs w:val="24"/>
        </w:rPr>
        <w:t xml:space="preserve"> </w:t>
      </w:r>
      <w:r>
        <w:rPr>
          <w:rFonts w:hint="eastAsia" w:ascii="仿宋" w:hAnsi="仿宋" w:eastAsia="仿宋"/>
          <w:sz w:val="24"/>
          <w:szCs w:val="24"/>
          <w:u w:val="single"/>
        </w:rPr>
        <w:t xml:space="preserve">  （授权人及职务）  </w:t>
      </w:r>
      <w:r>
        <w:rPr>
          <w:rFonts w:ascii="仿宋" w:hAnsi="仿宋" w:eastAsia="仿宋"/>
          <w:sz w:val="24"/>
          <w:szCs w:val="24"/>
        </w:rPr>
        <w:t>授权</w:t>
      </w:r>
      <w:r>
        <w:rPr>
          <w:rFonts w:hint="eastAsia" w:ascii="仿宋" w:hAnsi="仿宋" w:eastAsia="仿宋"/>
          <w:sz w:val="24"/>
          <w:szCs w:val="24"/>
          <w:u w:val="single"/>
        </w:rPr>
        <w:t xml:space="preserve">    （公司名称）   </w:t>
      </w:r>
      <w:r>
        <w:rPr>
          <w:rFonts w:ascii="仿宋" w:hAnsi="仿宋" w:eastAsia="仿宋"/>
          <w:sz w:val="24"/>
          <w:szCs w:val="24"/>
        </w:rPr>
        <w:t>在下面签字的</w:t>
      </w:r>
      <w:r>
        <w:rPr>
          <w:rFonts w:hint="eastAsia" w:ascii="仿宋" w:hAnsi="仿宋" w:eastAsia="仿宋"/>
          <w:sz w:val="24"/>
          <w:szCs w:val="24"/>
          <w:u w:val="single"/>
        </w:rPr>
        <w:t xml:space="preserve"> （被授权人及职务）  </w:t>
      </w:r>
      <w:r>
        <w:rPr>
          <w:rFonts w:ascii="仿宋" w:hAnsi="仿宋" w:eastAsia="仿宋"/>
          <w:sz w:val="24"/>
          <w:szCs w:val="24"/>
        </w:rPr>
        <w:t>为本公司的合法代理人，就</w:t>
      </w:r>
      <w:r>
        <w:rPr>
          <w:rFonts w:hint="eastAsia" w:ascii="仿宋" w:hAnsi="仿宋" w:eastAsia="仿宋"/>
          <w:sz w:val="24"/>
          <w:szCs w:val="24"/>
          <w:u w:val="single"/>
        </w:rPr>
        <w:t xml:space="preserve">  （招标编号）  </w:t>
      </w:r>
      <w:r>
        <w:rPr>
          <w:rFonts w:ascii="仿宋" w:hAnsi="仿宋" w:eastAsia="仿宋"/>
          <w:sz w:val="24"/>
          <w:szCs w:val="24"/>
        </w:rPr>
        <w:t>招标文件的投标及合同的签订、履行直至完成，并以本公司名义处理一切与之有关的事务。本授权书于</w:t>
      </w:r>
      <w:r>
        <w:rPr>
          <w:rFonts w:ascii="仿宋" w:hAnsi="仿宋" w:eastAsia="仿宋"/>
          <w:sz w:val="24"/>
          <w:szCs w:val="24"/>
          <w:u w:val="single"/>
        </w:rPr>
        <w:t xml:space="preserve"> </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ascii="仿宋" w:hAnsi="仿宋" w:eastAsia="仿宋"/>
          <w:sz w:val="24"/>
          <w:szCs w:val="24"/>
        </w:rPr>
        <w:t>年</w:t>
      </w:r>
      <w:r>
        <w:rPr>
          <w:rFonts w:hint="eastAsia" w:ascii="仿宋" w:hAnsi="仿宋" w:eastAsia="仿宋"/>
          <w:sz w:val="24"/>
          <w:szCs w:val="24"/>
          <w:u w:val="single"/>
        </w:rPr>
        <w:t xml:space="preserve">   </w:t>
      </w:r>
      <w:r>
        <w:rPr>
          <w:rFonts w:ascii="仿宋" w:hAnsi="仿宋" w:eastAsia="仿宋"/>
          <w:sz w:val="24"/>
          <w:szCs w:val="24"/>
          <w:u w:val="single"/>
        </w:rPr>
        <w:t xml:space="preserve"> </w:t>
      </w:r>
      <w:r>
        <w:rPr>
          <w:rFonts w:ascii="仿宋" w:hAnsi="仿宋" w:eastAsia="仿宋"/>
          <w:sz w:val="24"/>
          <w:szCs w:val="24"/>
        </w:rPr>
        <w:t>月</w:t>
      </w:r>
      <w:r>
        <w:rPr>
          <w:rFonts w:hint="eastAsia" w:ascii="仿宋" w:hAnsi="仿宋" w:eastAsia="仿宋"/>
          <w:sz w:val="24"/>
          <w:szCs w:val="24"/>
          <w:u w:val="single"/>
        </w:rPr>
        <w:t xml:space="preserve">    </w:t>
      </w:r>
      <w:r>
        <w:rPr>
          <w:rFonts w:hint="eastAsia" w:ascii="仿宋" w:hAnsi="仿宋" w:eastAsia="仿宋"/>
          <w:sz w:val="24"/>
          <w:szCs w:val="24"/>
        </w:rPr>
        <w:t>日</w:t>
      </w:r>
      <w:r>
        <w:rPr>
          <w:rFonts w:ascii="仿宋" w:hAnsi="仿宋" w:eastAsia="仿宋"/>
          <w:sz w:val="24"/>
          <w:szCs w:val="24"/>
        </w:rPr>
        <w:t>签字生效。</w:t>
      </w:r>
    </w:p>
    <w:p>
      <w:pPr>
        <w:pStyle w:val="10"/>
        <w:snapToGrid w:val="0"/>
        <w:spacing w:line="500" w:lineRule="exact"/>
        <w:ind w:firstLine="480"/>
        <w:rPr>
          <w:rFonts w:hint="eastAsia" w:ascii="仿宋" w:hAnsi="仿宋" w:eastAsia="仿宋"/>
          <w:sz w:val="24"/>
          <w:szCs w:val="24"/>
        </w:rPr>
      </w:pPr>
    </w:p>
    <w:p>
      <w:pPr>
        <w:pStyle w:val="10"/>
        <w:snapToGrid w:val="0"/>
        <w:spacing w:line="500" w:lineRule="exact"/>
        <w:ind w:firstLine="480"/>
        <w:rPr>
          <w:rFonts w:hint="eastAsia" w:ascii="仿宋" w:hAnsi="仿宋" w:eastAsia="仿宋"/>
          <w:sz w:val="24"/>
          <w:szCs w:val="24"/>
        </w:rPr>
      </w:pPr>
    </w:p>
    <w:p>
      <w:pPr>
        <w:pStyle w:val="10"/>
        <w:snapToGrid w:val="0"/>
        <w:spacing w:line="500" w:lineRule="exact"/>
        <w:ind w:firstLine="0" w:firstLineChars="0"/>
        <w:rPr>
          <w:rFonts w:hint="eastAsia" w:ascii="仿宋" w:hAnsi="仿宋" w:eastAsia="仿宋"/>
          <w:sz w:val="24"/>
          <w:szCs w:val="24"/>
        </w:rPr>
      </w:pP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法定代表人签字</w:t>
      </w:r>
      <w:r>
        <w:rPr>
          <w:rFonts w:hint="eastAsia" w:ascii="仿宋" w:hAnsi="仿宋" w:eastAsia="仿宋"/>
          <w:sz w:val="24"/>
          <w:szCs w:val="24"/>
        </w:rPr>
        <w:t>或盖章</w:t>
      </w:r>
      <w:r>
        <w:rPr>
          <w:rFonts w:ascii="仿宋" w:hAnsi="仿宋" w:eastAsia="仿宋"/>
          <w:sz w:val="24"/>
          <w:szCs w:val="24"/>
        </w:rPr>
        <w:t>：</w:t>
      </w:r>
      <w:r>
        <w:rPr>
          <w:rFonts w:hint="eastAsia" w:ascii="仿宋" w:hAnsi="仿宋" w:eastAsia="仿宋"/>
          <w:sz w:val="24"/>
          <w:szCs w:val="24"/>
          <w:u w:val="single"/>
        </w:rPr>
        <w:t xml:space="preserve">                        </w:t>
      </w: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法定代表人</w:t>
      </w:r>
      <w:r>
        <w:rPr>
          <w:rFonts w:hint="eastAsia" w:ascii="仿宋" w:hAnsi="仿宋" w:eastAsia="仿宋"/>
          <w:sz w:val="24"/>
          <w:szCs w:val="24"/>
        </w:rPr>
        <w:t>身份证号码：</w:t>
      </w:r>
      <w:r>
        <w:rPr>
          <w:rFonts w:hint="eastAsia" w:ascii="仿宋" w:hAnsi="仿宋" w:eastAsia="仿宋"/>
          <w:sz w:val="24"/>
          <w:szCs w:val="24"/>
          <w:u w:val="single"/>
        </w:rPr>
        <w:t xml:space="preserve">                        </w:t>
      </w: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被授权代理人签字</w:t>
      </w:r>
      <w:r>
        <w:rPr>
          <w:rFonts w:hint="eastAsia" w:ascii="仿宋" w:hAnsi="仿宋" w:eastAsia="仿宋"/>
          <w:sz w:val="24"/>
          <w:szCs w:val="24"/>
        </w:rPr>
        <w:t>或盖章</w:t>
      </w:r>
      <w:r>
        <w:rPr>
          <w:rFonts w:ascii="仿宋" w:hAnsi="仿宋" w:eastAsia="仿宋"/>
          <w:sz w:val="24"/>
          <w:szCs w:val="24"/>
        </w:rPr>
        <w:t>：</w:t>
      </w:r>
      <w:r>
        <w:rPr>
          <w:rFonts w:hint="eastAsia" w:ascii="仿宋" w:hAnsi="仿宋" w:eastAsia="仿宋"/>
          <w:sz w:val="24"/>
          <w:szCs w:val="24"/>
          <w:u w:val="single"/>
        </w:rPr>
        <w:t xml:space="preserve">                      </w:t>
      </w: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被授权代理人</w:t>
      </w:r>
      <w:r>
        <w:rPr>
          <w:rFonts w:hint="eastAsia" w:ascii="仿宋" w:hAnsi="仿宋" w:eastAsia="仿宋"/>
          <w:sz w:val="24"/>
          <w:szCs w:val="24"/>
        </w:rPr>
        <w:t>身份证号码：</w:t>
      </w:r>
      <w:r>
        <w:rPr>
          <w:rFonts w:hint="eastAsia" w:ascii="仿宋" w:hAnsi="仿宋" w:eastAsia="仿宋"/>
          <w:sz w:val="24"/>
          <w:szCs w:val="24"/>
          <w:u w:val="single"/>
        </w:rPr>
        <w:t xml:space="preserve">                      </w:t>
      </w:r>
    </w:p>
    <w:p>
      <w:pPr>
        <w:pStyle w:val="10"/>
        <w:snapToGrid w:val="0"/>
        <w:spacing w:line="500" w:lineRule="exact"/>
        <w:ind w:firstLine="480"/>
        <w:rPr>
          <w:rFonts w:hint="eastAsia" w:ascii="仿宋" w:hAnsi="仿宋" w:eastAsia="仿宋"/>
          <w:sz w:val="24"/>
          <w:szCs w:val="24"/>
          <w:u w:val="single"/>
        </w:rPr>
      </w:pPr>
      <w:r>
        <w:rPr>
          <w:rFonts w:ascii="仿宋" w:hAnsi="仿宋" w:eastAsia="仿宋"/>
          <w:sz w:val="24"/>
          <w:szCs w:val="24"/>
        </w:rPr>
        <w:t>单位名称（公章）：</w:t>
      </w:r>
      <w:r>
        <w:rPr>
          <w:rFonts w:hint="eastAsia" w:ascii="仿宋" w:hAnsi="仿宋" w:eastAsia="仿宋"/>
          <w:sz w:val="24"/>
          <w:szCs w:val="24"/>
          <w:u w:val="single"/>
        </w:rPr>
        <w:t xml:space="preserve">                             </w:t>
      </w:r>
    </w:p>
    <w:p>
      <w:pPr>
        <w:pStyle w:val="10"/>
        <w:snapToGrid w:val="0"/>
        <w:spacing w:line="500" w:lineRule="exact"/>
        <w:ind w:firstLine="480"/>
        <w:rPr>
          <w:rFonts w:hint="eastAsia" w:ascii="仿宋" w:hAnsi="仿宋" w:eastAsia="仿宋"/>
          <w:sz w:val="24"/>
          <w:szCs w:val="24"/>
        </w:rPr>
      </w:pPr>
      <w:r>
        <w:rPr>
          <w:rFonts w:ascii="仿宋" w:hAnsi="仿宋" w:eastAsia="仿宋"/>
          <w:sz w:val="24"/>
          <w:szCs w:val="24"/>
        </w:rPr>
        <w:t>单位地址：</w:t>
      </w:r>
      <w:r>
        <w:rPr>
          <w:rFonts w:hint="eastAsia" w:ascii="仿宋" w:hAnsi="仿宋" w:eastAsia="仿宋"/>
          <w:sz w:val="24"/>
          <w:szCs w:val="24"/>
          <w:u w:val="single"/>
        </w:rPr>
        <w:t xml:space="preserve">                                    </w:t>
      </w:r>
    </w:p>
    <w:p>
      <w:pPr>
        <w:spacing w:line="500" w:lineRule="exact"/>
        <w:ind w:firstLine="2640" w:firstLineChars="1100"/>
        <w:rPr>
          <w:rFonts w:hint="eastAsia" w:ascii="仿宋" w:hAnsi="仿宋"/>
          <w:sz w:val="24"/>
        </w:rPr>
      </w:pPr>
    </w:p>
    <w:p>
      <w:pPr>
        <w:spacing w:line="500" w:lineRule="exact"/>
        <w:ind w:firstLine="2640" w:firstLineChars="1100"/>
        <w:rPr>
          <w:rFonts w:hint="eastAsia" w:ascii="仿宋" w:hAnsi="仿宋"/>
          <w:sz w:val="24"/>
        </w:rPr>
      </w:pPr>
      <w:r>
        <w:rPr>
          <w:rFonts w:ascii="仿宋" w:hAnsi="仿宋"/>
          <w:sz w:val="24"/>
        </w:rPr>
        <w:t>日期：</w:t>
      </w:r>
      <w:r>
        <w:rPr>
          <w:rFonts w:ascii="仿宋" w:hAnsi="仿宋"/>
          <w:sz w:val="24"/>
          <w:u w:val="single"/>
        </w:rPr>
        <w:t xml:space="preserve">     </w:t>
      </w:r>
      <w:r>
        <w:rPr>
          <w:rFonts w:ascii="仿宋" w:hAnsi="仿宋"/>
          <w:sz w:val="24"/>
        </w:rPr>
        <w:t>年</w:t>
      </w:r>
      <w:r>
        <w:rPr>
          <w:rFonts w:ascii="仿宋" w:hAnsi="仿宋"/>
          <w:sz w:val="24"/>
          <w:u w:val="single"/>
        </w:rPr>
        <w:t xml:space="preserve"> </w:t>
      </w:r>
      <w:r>
        <w:rPr>
          <w:rFonts w:hint="eastAsia" w:ascii="仿宋" w:hAnsi="仿宋"/>
          <w:sz w:val="24"/>
          <w:u w:val="single"/>
        </w:rPr>
        <w:t xml:space="preserve">  </w:t>
      </w:r>
      <w:r>
        <w:rPr>
          <w:rFonts w:ascii="仿宋" w:hAnsi="仿宋"/>
          <w:sz w:val="24"/>
          <w:u w:val="single"/>
        </w:rPr>
        <w:t xml:space="preserve"> </w:t>
      </w:r>
      <w:r>
        <w:rPr>
          <w:rFonts w:ascii="仿宋" w:hAnsi="仿宋"/>
          <w:sz w:val="24"/>
        </w:rPr>
        <w:t>月</w:t>
      </w:r>
      <w:r>
        <w:rPr>
          <w:rFonts w:ascii="仿宋" w:hAnsi="仿宋"/>
          <w:sz w:val="24"/>
          <w:u w:val="single"/>
        </w:rPr>
        <w:t xml:space="preserve">    </w:t>
      </w:r>
      <w:r>
        <w:rPr>
          <w:rFonts w:ascii="仿宋" w:hAnsi="仿宋"/>
          <w:sz w:val="24"/>
        </w:rPr>
        <w:t>日</w:t>
      </w: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6"/>
        <w:spacing w:line="500" w:lineRule="exact"/>
        <w:rPr>
          <w:rFonts w:hint="eastAsia"/>
        </w:rPr>
      </w:pPr>
    </w:p>
    <w:p>
      <w:pPr>
        <w:pStyle w:val="3"/>
        <w:numPr>
          <w:ilvl w:val="0"/>
          <w:numId w:val="11"/>
        </w:numPr>
        <w:spacing w:before="0" w:after="0" w:line="500" w:lineRule="exact"/>
        <w:ind w:left="489" w:hanging="720"/>
        <w:jc w:val="center"/>
        <w:rPr>
          <w:rFonts w:hint="eastAsia" w:ascii="仿宋" w:hAnsi="仿宋"/>
          <w:sz w:val="24"/>
          <w:szCs w:val="24"/>
        </w:rPr>
      </w:pPr>
      <w:bookmarkStart w:id="227" w:name="_Toc202442876"/>
      <w:bookmarkStart w:id="228" w:name="_Toc119663034"/>
      <w:r>
        <w:rPr>
          <w:rFonts w:hint="eastAsia" w:ascii="仿宋" w:hAnsi="仿宋"/>
          <w:sz w:val="24"/>
          <w:szCs w:val="24"/>
        </w:rPr>
        <w:t>廉政协议</w:t>
      </w:r>
      <w:bookmarkEnd w:id="227"/>
      <w:bookmarkEnd w:id="228"/>
    </w:p>
    <w:p>
      <w:pPr>
        <w:pStyle w:val="36"/>
        <w:spacing w:line="500" w:lineRule="exact"/>
        <w:rPr>
          <w:rFonts w:hint="eastAsia"/>
          <w:sz w:val="24"/>
          <w:szCs w:val="24"/>
        </w:rPr>
      </w:pPr>
      <w:bookmarkStart w:id="229" w:name="_Toc26030"/>
      <w:r>
        <w:rPr>
          <w:rFonts w:hint="eastAsia"/>
          <w:sz w:val="24"/>
          <w:szCs w:val="24"/>
        </w:rPr>
        <w:t>廉政诚信及保密承诺函</w:t>
      </w:r>
      <w:bookmarkEnd w:id="229"/>
    </w:p>
    <w:p>
      <w:pPr>
        <w:widowControl/>
        <w:adjustRightInd w:val="0"/>
        <w:snapToGrid w:val="0"/>
        <w:spacing w:line="500" w:lineRule="exact"/>
        <w:ind w:firstLine="480"/>
        <w:jc w:val="left"/>
        <w:rPr>
          <w:rFonts w:hint="eastAsia" w:ascii="仿宋" w:hAnsi="仿宋" w:cs="仿宋"/>
          <w:sz w:val="24"/>
        </w:rPr>
      </w:pPr>
      <w:r>
        <w:rPr>
          <w:rFonts w:hint="eastAsia" w:ascii="仿宋" w:hAnsi="仿宋" w:cs="仿宋"/>
          <w:sz w:val="24"/>
        </w:rPr>
        <w:t>致：</w:t>
      </w:r>
      <w:r>
        <w:rPr>
          <w:rFonts w:hint="eastAsia" w:ascii="仿宋" w:hAnsi="仿宋" w:cs="仿宋"/>
          <w:sz w:val="24"/>
          <w:u w:val="single"/>
        </w:rPr>
        <w:t xml:space="preserve">远东电缆有限公司    </w:t>
      </w:r>
    </w:p>
    <w:p>
      <w:pPr>
        <w:widowControl/>
        <w:spacing w:line="500" w:lineRule="exact"/>
        <w:ind w:left="1" w:firstLine="424" w:firstLineChars="177"/>
        <w:jc w:val="left"/>
        <w:rPr>
          <w:rFonts w:hint="eastAsia" w:ascii="仿宋" w:hAnsi="仿宋" w:cs="仿宋"/>
          <w:sz w:val="24"/>
        </w:rPr>
      </w:pPr>
      <w:r>
        <w:rPr>
          <w:rFonts w:hint="eastAsia" w:ascii="仿宋" w:hAnsi="仿宋" w:cs="仿宋"/>
          <w:sz w:val="24"/>
        </w:rPr>
        <w:t xml:space="preserve"> 为积极配合贵司完善监督制约机制，防范和遏制招投标活动中不公平竞争和违规违纪行为的发生，确保招采工作公平、公正、公开、有序进行，我公司在参与贵公司招采、履约供货、售后服务等过程中，保证自觉遵守《中华人民共和国招标投标法》、《中华人民共和国招标投标法实施条例》、《中华人民共和国民法典》等国家法律法规以及廉洁自律有关规章制度，积极配合协助贵司共同推进重法纪、讲诚信、提质量廉政建设，并向贵公司承诺如下事项：</w:t>
      </w:r>
    </w:p>
    <w:p>
      <w:pPr>
        <w:widowControl/>
        <w:numPr>
          <w:ilvl w:val="0"/>
          <w:numId w:val="12"/>
        </w:numPr>
        <w:spacing w:line="500" w:lineRule="exact"/>
        <w:ind w:firstLine="560"/>
        <w:jc w:val="left"/>
        <w:rPr>
          <w:rFonts w:hint="eastAsia" w:ascii="仿宋" w:hAnsi="仿宋" w:cs="仿宋"/>
          <w:sz w:val="24"/>
        </w:rPr>
      </w:pPr>
      <w:r>
        <w:rPr>
          <w:rFonts w:hint="eastAsia" w:ascii="仿宋" w:hAnsi="仿宋" w:cs="仿宋"/>
          <w:sz w:val="24"/>
        </w:rPr>
        <w:t>廉洁承诺</w:t>
      </w:r>
    </w:p>
    <w:p>
      <w:pPr>
        <w:widowControl/>
        <w:numPr>
          <w:ilvl w:val="0"/>
          <w:numId w:val="13"/>
        </w:numPr>
        <w:spacing w:line="500" w:lineRule="exact"/>
        <w:ind w:firstLine="560"/>
        <w:jc w:val="left"/>
        <w:rPr>
          <w:rFonts w:hint="eastAsia" w:ascii="仿宋" w:hAnsi="仿宋" w:cs="仿宋"/>
          <w:sz w:val="24"/>
        </w:rPr>
      </w:pPr>
      <w:r>
        <w:rPr>
          <w:rFonts w:hint="eastAsia" w:ascii="仿宋" w:hAnsi="仿宋" w:cs="仿宋"/>
          <w:sz w:val="24"/>
        </w:rPr>
        <w:t>不使用相同法定代表人、控股或有管理关系的不同公司采取不正当手段谋取中标。</w:t>
      </w:r>
    </w:p>
    <w:p>
      <w:pPr>
        <w:widowControl/>
        <w:numPr>
          <w:ilvl w:val="0"/>
          <w:numId w:val="13"/>
        </w:numPr>
        <w:spacing w:line="500" w:lineRule="exact"/>
        <w:ind w:firstLine="560"/>
        <w:jc w:val="left"/>
        <w:rPr>
          <w:rFonts w:hint="eastAsia" w:ascii="仿宋" w:hAnsi="仿宋" w:cs="仿宋"/>
          <w:sz w:val="24"/>
        </w:rPr>
      </w:pPr>
      <w:r>
        <w:rPr>
          <w:rFonts w:hint="eastAsia" w:ascii="仿宋" w:hAnsi="仿宋" w:cs="仿宋"/>
          <w:sz w:val="24"/>
        </w:rPr>
        <w:t>不以任何形式通过社会上的“代理”、“中介”、“掮客”等采取不正当手段谋取中标。</w:t>
      </w:r>
    </w:p>
    <w:p>
      <w:pPr>
        <w:widowControl/>
        <w:numPr>
          <w:ilvl w:val="0"/>
          <w:numId w:val="13"/>
        </w:numPr>
        <w:spacing w:line="500" w:lineRule="exact"/>
        <w:ind w:firstLine="560"/>
        <w:jc w:val="left"/>
        <w:rPr>
          <w:rFonts w:hint="eastAsia" w:ascii="仿宋" w:hAnsi="仿宋" w:cs="仿宋"/>
          <w:sz w:val="24"/>
        </w:rPr>
      </w:pPr>
      <w:r>
        <w:rPr>
          <w:rFonts w:hint="eastAsia" w:ascii="仿宋" w:hAnsi="仿宋" w:cs="仿宋"/>
          <w:sz w:val="24"/>
        </w:rPr>
        <w:t>不以任何形式打着领导及其亲友旗号或冒充领导及其亲友等采取不正当手段谋取中标。</w:t>
      </w:r>
    </w:p>
    <w:p>
      <w:pPr>
        <w:widowControl/>
        <w:numPr>
          <w:ilvl w:val="0"/>
          <w:numId w:val="13"/>
        </w:numPr>
        <w:spacing w:line="500" w:lineRule="exact"/>
        <w:ind w:firstLine="560"/>
        <w:jc w:val="left"/>
        <w:rPr>
          <w:rFonts w:hint="eastAsia" w:ascii="仿宋" w:hAnsi="仿宋" w:cs="仿宋"/>
          <w:vanish/>
          <w:sz w:val="24"/>
        </w:rPr>
      </w:pPr>
      <w:r>
        <w:rPr>
          <w:rFonts w:hint="eastAsia" w:ascii="仿宋" w:hAnsi="仿宋" w:cs="仿宋"/>
          <w:sz w:val="24"/>
        </w:rPr>
        <w:t>以任何名义与贵司参与招评标、采购、现场评审、生产检验等相关工作的有关人员发生以下往来：</w:t>
      </w:r>
    </w:p>
    <w:p>
      <w:pPr>
        <w:widowControl/>
        <w:spacing w:line="500" w:lineRule="exact"/>
        <w:ind w:firstLine="480"/>
        <w:jc w:val="left"/>
        <w:rPr>
          <w:rFonts w:hint="eastAsia" w:ascii="仿宋" w:hAnsi="仿宋" w:cs="仿宋"/>
          <w:sz w:val="24"/>
        </w:rPr>
      </w:pPr>
    </w:p>
    <w:p>
      <w:pPr>
        <w:widowControl/>
        <w:spacing w:line="500" w:lineRule="exact"/>
        <w:ind w:firstLine="480"/>
        <w:jc w:val="left"/>
        <w:rPr>
          <w:rFonts w:hint="eastAsia" w:ascii="仿宋" w:hAnsi="仿宋" w:cs="仿宋"/>
          <w:sz w:val="24"/>
        </w:rPr>
      </w:pPr>
      <w:r>
        <w:rPr>
          <w:rFonts w:hint="eastAsia" w:ascii="仿宋" w:hAnsi="仿宋" w:cs="仿宋"/>
          <w:sz w:val="24"/>
        </w:rPr>
        <w:t>4.1赠送回扣、红包、礼金、购物卡、有价证券、贵重物品和好处费、感谢费等；</w:t>
      </w:r>
    </w:p>
    <w:p>
      <w:pPr>
        <w:widowControl/>
        <w:spacing w:line="500" w:lineRule="exact"/>
        <w:ind w:firstLine="480"/>
        <w:jc w:val="left"/>
        <w:rPr>
          <w:rFonts w:hint="eastAsia" w:ascii="仿宋" w:hAnsi="仿宋" w:cs="仿宋"/>
          <w:sz w:val="24"/>
        </w:rPr>
      </w:pPr>
      <w:r>
        <w:rPr>
          <w:rFonts w:hint="eastAsia" w:ascii="仿宋" w:hAnsi="仿宋" w:cs="仿宋"/>
          <w:sz w:val="24"/>
        </w:rPr>
        <w:t>4.2提供高消费宴请、娱乐活动或境内外旅游等；</w:t>
      </w:r>
    </w:p>
    <w:p>
      <w:pPr>
        <w:widowControl/>
        <w:spacing w:line="500" w:lineRule="exact"/>
        <w:ind w:firstLine="480"/>
        <w:jc w:val="left"/>
        <w:rPr>
          <w:rFonts w:hint="eastAsia" w:ascii="仿宋" w:hAnsi="仿宋" w:cs="仿宋"/>
          <w:sz w:val="24"/>
        </w:rPr>
      </w:pPr>
      <w:r>
        <w:rPr>
          <w:rFonts w:hint="eastAsia" w:ascii="仿宋" w:hAnsi="仿宋" w:cs="仿宋"/>
          <w:sz w:val="24"/>
        </w:rPr>
        <w:t>4.3赠予或提供通信工具、交通工具、家电、高档办公用品等；</w:t>
      </w:r>
    </w:p>
    <w:p>
      <w:pPr>
        <w:widowControl/>
        <w:spacing w:line="500" w:lineRule="exact"/>
        <w:ind w:firstLine="480"/>
        <w:jc w:val="left"/>
        <w:rPr>
          <w:rFonts w:hint="eastAsia" w:ascii="仿宋" w:hAnsi="仿宋" w:cs="仿宋"/>
          <w:sz w:val="24"/>
        </w:rPr>
      </w:pPr>
      <w:r>
        <w:rPr>
          <w:rFonts w:hint="eastAsia" w:ascii="仿宋" w:hAnsi="仿宋" w:cs="仿宋"/>
          <w:sz w:val="24"/>
        </w:rPr>
        <w:t xml:space="preserve">4.4报销或支付应由贵司有关人员支付的任何费用。   </w:t>
      </w:r>
    </w:p>
    <w:p>
      <w:pPr>
        <w:widowControl/>
        <w:spacing w:line="500" w:lineRule="exact"/>
        <w:ind w:firstLine="480"/>
        <w:jc w:val="left"/>
        <w:rPr>
          <w:rFonts w:hint="eastAsia" w:ascii="仿宋" w:hAnsi="仿宋" w:cs="仿宋"/>
          <w:sz w:val="24"/>
        </w:rPr>
      </w:pPr>
      <w:r>
        <w:rPr>
          <w:rFonts w:hint="eastAsia" w:ascii="仿宋" w:hAnsi="仿宋" w:cs="仿宋"/>
          <w:sz w:val="24"/>
        </w:rPr>
        <w:t>5.不以谋取非正当利益为目的，与贵司有关人员就业务问题进行私下商谈或者达成利益默契。</w:t>
      </w:r>
    </w:p>
    <w:p>
      <w:pPr>
        <w:spacing w:line="500" w:lineRule="exact"/>
        <w:ind w:firstLine="480"/>
        <w:jc w:val="left"/>
        <w:rPr>
          <w:rFonts w:hint="eastAsia" w:ascii="仿宋" w:hAnsi="仿宋" w:cs="仿宋"/>
          <w:sz w:val="24"/>
        </w:rPr>
      </w:pPr>
      <w:r>
        <w:rPr>
          <w:rFonts w:hint="eastAsia" w:ascii="仿宋" w:hAnsi="仿宋" w:cs="仿宋"/>
          <w:sz w:val="24"/>
        </w:rPr>
        <w:t>6.不与招标人、招标代理机构工作人员串通投标，损害国家利益、企业利益以及他人的合法利益。</w:t>
      </w:r>
    </w:p>
    <w:p>
      <w:pPr>
        <w:widowControl/>
        <w:spacing w:line="500" w:lineRule="exact"/>
        <w:ind w:firstLine="480"/>
        <w:jc w:val="left"/>
        <w:rPr>
          <w:rFonts w:hint="eastAsia" w:ascii="仿宋" w:hAnsi="仿宋" w:cs="仿宋"/>
          <w:sz w:val="24"/>
        </w:rPr>
      </w:pPr>
      <w:r>
        <w:rPr>
          <w:rFonts w:hint="eastAsia" w:ascii="仿宋" w:hAnsi="仿宋" w:cs="仿宋"/>
          <w:sz w:val="24"/>
        </w:rPr>
        <w:t>7.不以任何方式与其他投标人相互串通投标，不排挤其他投标人，不损害贵司或其他投标人的合法权益。</w:t>
      </w:r>
    </w:p>
    <w:p>
      <w:pPr>
        <w:widowControl/>
        <w:spacing w:line="500" w:lineRule="exact"/>
        <w:ind w:firstLine="480"/>
        <w:jc w:val="left"/>
        <w:rPr>
          <w:rFonts w:hint="eastAsia" w:ascii="仿宋" w:hAnsi="仿宋" w:cs="仿宋"/>
          <w:sz w:val="24"/>
        </w:rPr>
      </w:pPr>
      <w:r>
        <w:rPr>
          <w:rFonts w:hint="eastAsia" w:ascii="仿宋" w:hAnsi="仿宋" w:cs="仿宋"/>
          <w:sz w:val="24"/>
        </w:rPr>
        <w:t>8.不可采取捏造事实或者提供虚假投诉材料，恶意投诉、诋毁、排挤其他供应商。</w:t>
      </w:r>
    </w:p>
    <w:p>
      <w:pPr>
        <w:widowControl/>
        <w:spacing w:line="500" w:lineRule="exact"/>
        <w:ind w:firstLine="480"/>
        <w:jc w:val="left"/>
        <w:rPr>
          <w:rFonts w:hint="eastAsia" w:ascii="仿宋" w:hAnsi="仿宋" w:cs="仿宋"/>
          <w:sz w:val="24"/>
        </w:rPr>
      </w:pPr>
      <w:r>
        <w:rPr>
          <w:rFonts w:hint="eastAsia" w:ascii="仿宋" w:hAnsi="仿宋" w:cs="仿宋"/>
          <w:sz w:val="24"/>
        </w:rPr>
        <w:t>9.不以任何形式在招标采购活动中提供任何虚假信息或者证明文件。</w:t>
      </w:r>
    </w:p>
    <w:p>
      <w:pPr>
        <w:widowControl/>
        <w:spacing w:line="500" w:lineRule="exact"/>
        <w:ind w:firstLine="480"/>
        <w:jc w:val="left"/>
        <w:rPr>
          <w:rFonts w:hint="eastAsia" w:ascii="仿宋" w:hAnsi="仿宋" w:cs="仿宋"/>
          <w:sz w:val="24"/>
        </w:rPr>
      </w:pPr>
      <w:r>
        <w:rPr>
          <w:rFonts w:hint="eastAsia" w:ascii="仿宋" w:hAnsi="仿宋" w:cs="仿宋"/>
          <w:sz w:val="24"/>
        </w:rPr>
        <w:t>10.不以任务形式接受或要求贵司工作人员为其装修住房、婚丧嫁娶、家属和子女的工作安排以及出国等提供方便。</w:t>
      </w:r>
    </w:p>
    <w:p>
      <w:pPr>
        <w:widowControl/>
        <w:spacing w:line="500" w:lineRule="exact"/>
        <w:ind w:firstLine="480"/>
        <w:jc w:val="left"/>
        <w:rPr>
          <w:rFonts w:hint="eastAsia" w:ascii="仿宋" w:hAnsi="仿宋" w:cs="仿宋"/>
          <w:sz w:val="24"/>
        </w:rPr>
      </w:pPr>
      <w:r>
        <w:rPr>
          <w:rFonts w:hint="eastAsia" w:ascii="仿宋" w:hAnsi="仿宋" w:cs="仿宋"/>
          <w:sz w:val="24"/>
        </w:rPr>
        <w:t>11.不以任务形式接受贵司工作人员向我司介绍家属或者亲友从事与贵司工作有关的经济活动。</w:t>
      </w:r>
    </w:p>
    <w:p>
      <w:pPr>
        <w:widowControl/>
        <w:spacing w:line="500" w:lineRule="exact"/>
        <w:ind w:firstLine="480"/>
        <w:jc w:val="left"/>
        <w:rPr>
          <w:rFonts w:hint="eastAsia" w:ascii="仿宋" w:hAnsi="仿宋"/>
          <w:sz w:val="24"/>
        </w:rPr>
      </w:pPr>
      <w:r>
        <w:rPr>
          <w:rFonts w:hint="eastAsia" w:ascii="仿宋" w:hAnsi="仿宋"/>
          <w:sz w:val="24"/>
        </w:rPr>
        <w:t>12.</w:t>
      </w:r>
      <w:r>
        <w:rPr>
          <w:rFonts w:ascii="仿宋" w:hAnsi="仿宋"/>
          <w:sz w:val="24"/>
        </w:rPr>
        <w:t>不向他人透露已获取招标文件的潜在投标人的名称、数量或者可能影响公平竞争的有关招投标的其他情况，或者泄露标底、影响中标结果的</w:t>
      </w:r>
      <w:r>
        <w:rPr>
          <w:rFonts w:hint="eastAsia" w:ascii="仿宋" w:hAnsi="仿宋"/>
          <w:sz w:val="24"/>
        </w:rPr>
        <w:t>。</w:t>
      </w:r>
    </w:p>
    <w:p>
      <w:pPr>
        <w:widowControl/>
        <w:spacing w:line="500" w:lineRule="exact"/>
        <w:ind w:firstLine="480"/>
        <w:jc w:val="left"/>
        <w:rPr>
          <w:rFonts w:hint="eastAsia" w:ascii="仿宋" w:hAnsi="仿宋" w:cs="仿宋"/>
          <w:sz w:val="24"/>
        </w:rPr>
      </w:pPr>
      <w:r>
        <w:rPr>
          <w:rFonts w:hint="eastAsia" w:ascii="仿宋" w:hAnsi="仿宋" w:cs="仿宋"/>
          <w:sz w:val="24"/>
        </w:rPr>
        <w:t>13.我司保证贵司的工作人员没有直接或者间接投资我司，没有直接或间接持有双方的股权或干股，也没有到我司任职。我司保证自己公司的股东、实际控制人、主要管理人员和贵司工作人员没有亲属关系或其他特殊关系，若有以上关系，我司应如实书面报告贵司。</w:t>
      </w:r>
    </w:p>
    <w:p>
      <w:pPr>
        <w:widowControl/>
        <w:spacing w:line="500" w:lineRule="exact"/>
        <w:ind w:firstLine="480"/>
        <w:jc w:val="left"/>
        <w:rPr>
          <w:rFonts w:hint="eastAsia" w:ascii="仿宋" w:hAnsi="仿宋" w:cs="仿宋"/>
          <w:sz w:val="24"/>
        </w:rPr>
      </w:pPr>
      <w:r>
        <w:rPr>
          <w:rFonts w:hint="eastAsia" w:ascii="仿宋" w:hAnsi="仿宋" w:cs="仿宋"/>
          <w:sz w:val="24"/>
        </w:rPr>
        <w:t>14.我司的商务人员只能和贵司的采购人员联系，而不得自行和贵司的技术人员联系或私下接触，更不得与贵司技术人员进行商务方面的谈判。</w:t>
      </w:r>
    </w:p>
    <w:p>
      <w:pPr>
        <w:widowControl/>
        <w:spacing w:line="500" w:lineRule="exact"/>
        <w:ind w:firstLine="480"/>
        <w:jc w:val="left"/>
        <w:rPr>
          <w:rFonts w:hint="eastAsia" w:ascii="仿宋" w:hAnsi="仿宋" w:cs="仿宋"/>
          <w:sz w:val="24"/>
        </w:rPr>
      </w:pPr>
      <w:r>
        <w:rPr>
          <w:rFonts w:hint="eastAsia" w:ascii="仿宋" w:hAnsi="仿宋"/>
          <w:sz w:val="24"/>
        </w:rPr>
        <w:t>15.</w:t>
      </w:r>
      <w:r>
        <w:rPr>
          <w:rFonts w:ascii="仿宋" w:hAnsi="仿宋"/>
          <w:sz w:val="24"/>
        </w:rPr>
        <w:t>如我司与关联方人员串通提高价格，存在损害</w:t>
      </w:r>
      <w:r>
        <w:rPr>
          <w:rFonts w:hint="eastAsia" w:ascii="仿宋" w:hAnsi="仿宋"/>
          <w:sz w:val="24"/>
        </w:rPr>
        <w:t>贵司</w:t>
      </w:r>
      <w:r>
        <w:rPr>
          <w:rFonts w:ascii="仿宋" w:hAnsi="仿宋"/>
          <w:sz w:val="24"/>
        </w:rPr>
        <w:t>利益的行为，除按照本协议承担违约责任外，我司应将合同价格调整到贵司认可的合理价位并按照调整后的合理价格对全部合同进行结算，已经结算并支付的不合理合同价款我司应予双倍返还</w:t>
      </w:r>
      <w:r>
        <w:rPr>
          <w:rFonts w:hint="eastAsia" w:ascii="仿宋" w:hAnsi="仿宋"/>
          <w:sz w:val="24"/>
        </w:rPr>
        <w:t>。</w:t>
      </w:r>
    </w:p>
    <w:p>
      <w:pPr>
        <w:widowControl/>
        <w:numPr>
          <w:ilvl w:val="0"/>
          <w:numId w:val="12"/>
        </w:numPr>
        <w:spacing w:line="500" w:lineRule="exact"/>
        <w:ind w:firstLine="560"/>
        <w:jc w:val="left"/>
        <w:rPr>
          <w:rFonts w:hint="eastAsia" w:ascii="仿宋" w:hAnsi="仿宋" w:cs="仿宋"/>
          <w:sz w:val="24"/>
        </w:rPr>
      </w:pPr>
      <w:r>
        <w:rPr>
          <w:rFonts w:hint="eastAsia" w:ascii="仿宋" w:hAnsi="仿宋" w:cs="仿宋"/>
          <w:sz w:val="24"/>
        </w:rPr>
        <w:t>保密承诺</w:t>
      </w:r>
    </w:p>
    <w:p>
      <w:pPr>
        <w:widowControl/>
        <w:numPr>
          <w:ilvl w:val="0"/>
          <w:numId w:val="14"/>
        </w:numPr>
        <w:spacing w:line="500" w:lineRule="exact"/>
        <w:ind w:firstLine="560"/>
        <w:jc w:val="left"/>
        <w:rPr>
          <w:rFonts w:hint="eastAsia" w:ascii="仿宋" w:hAnsi="仿宋" w:cs="仿宋"/>
          <w:sz w:val="24"/>
        </w:rPr>
      </w:pPr>
      <w:r>
        <w:rPr>
          <w:rFonts w:hint="eastAsia" w:ascii="仿宋" w:hAnsi="仿宋" w:cs="仿宋"/>
          <w:sz w:val="24"/>
        </w:rPr>
        <w:t>我司应承担保密义务的保密信息, 包括但不限于配方、模型、汇编、程序、设备、方法、技术和工艺、商业计划、策略、市场计划、客户名单、价格表、成本信息、发明描述、工艺描述、技术诀窍描述、新产品和新产品开放的信息和描述、可行和技术描述和文件、样品、设备、模版、产品和市场分析、研究和未决或放弃的专利申请等。</w:t>
      </w:r>
    </w:p>
    <w:p>
      <w:pPr>
        <w:widowControl/>
        <w:numPr>
          <w:ilvl w:val="0"/>
          <w:numId w:val="14"/>
        </w:numPr>
        <w:spacing w:line="500" w:lineRule="exact"/>
        <w:ind w:firstLine="560"/>
        <w:jc w:val="left"/>
        <w:rPr>
          <w:rFonts w:hint="eastAsia" w:ascii="仿宋" w:hAnsi="仿宋" w:cs="仿宋"/>
          <w:sz w:val="24"/>
        </w:rPr>
      </w:pPr>
      <w:r>
        <w:rPr>
          <w:rFonts w:hint="eastAsia" w:ascii="仿宋" w:hAnsi="仿宋" w:cs="仿宋"/>
          <w:sz w:val="24"/>
        </w:rPr>
        <w:t>我司应对保密信息保守秘密，并承诺至少以与处理和防止其自身的保密信息向外披露相同的谨慎程度，且不得低于合理的谨慎程度对待贵司披露的所有保密信息，预防保密信息未经授权而使用、揭露、散布或公开。未经贵司的事先书面同意，不得向任何第三方披露任何该等保密信息，也不得在合同目的之外使用保密信息。</w:t>
      </w:r>
    </w:p>
    <w:p>
      <w:pPr>
        <w:widowControl/>
        <w:numPr>
          <w:ilvl w:val="0"/>
          <w:numId w:val="14"/>
        </w:numPr>
        <w:spacing w:line="500" w:lineRule="exact"/>
        <w:ind w:firstLine="560"/>
        <w:jc w:val="left"/>
        <w:rPr>
          <w:rFonts w:hint="eastAsia" w:ascii="仿宋" w:hAnsi="仿宋" w:cs="仿宋"/>
          <w:sz w:val="24"/>
        </w:rPr>
      </w:pPr>
      <w:r>
        <w:rPr>
          <w:rFonts w:hint="eastAsia" w:ascii="仿宋" w:hAnsi="仿宋" w:cs="仿宋"/>
          <w:sz w:val="24"/>
        </w:rPr>
        <w:t>我司应限定仅有必要了解该等保密信息且已被告知该等信息系本协议项下保密信息的我司员工，方可使用和接触贵司的保密信息。</w:t>
      </w:r>
    </w:p>
    <w:p>
      <w:pPr>
        <w:widowControl/>
        <w:numPr>
          <w:ilvl w:val="0"/>
          <w:numId w:val="14"/>
        </w:numPr>
        <w:spacing w:line="500" w:lineRule="exact"/>
        <w:ind w:firstLine="560"/>
        <w:jc w:val="left"/>
        <w:rPr>
          <w:rFonts w:hint="eastAsia" w:ascii="仿宋" w:hAnsi="仿宋" w:cs="仿宋"/>
          <w:sz w:val="24"/>
        </w:rPr>
      </w:pPr>
      <w:r>
        <w:rPr>
          <w:rFonts w:hint="eastAsia" w:ascii="仿宋" w:hAnsi="仿宋" w:cs="仿宋"/>
          <w:sz w:val="24"/>
        </w:rPr>
        <w:t>经贵司提前三个工作日书面要求，我司应：(1)向贵司归还贵司的所有保密信息、含有该等保密信息的所有文件或媒介，以及该等信息的所有复制件或摘要，或(2)销毁包含该等保密信息的所有文件或媒介，以及该等信息的所有复制件或摘要，并向贵司提供一份由我司授权代表签署的关于该等销毁的书面证明。</w:t>
      </w:r>
    </w:p>
    <w:p>
      <w:pPr>
        <w:widowControl/>
        <w:numPr>
          <w:ilvl w:val="0"/>
          <w:numId w:val="14"/>
        </w:numPr>
        <w:spacing w:line="500" w:lineRule="exact"/>
        <w:ind w:firstLine="560"/>
        <w:jc w:val="left"/>
        <w:rPr>
          <w:rFonts w:hint="eastAsia" w:ascii="仿宋" w:hAnsi="仿宋" w:cs="仿宋"/>
          <w:sz w:val="24"/>
        </w:rPr>
      </w:pPr>
      <w:r>
        <w:rPr>
          <w:rFonts w:hint="eastAsia" w:ascii="仿宋" w:hAnsi="仿宋" w:cs="仿宋"/>
          <w:sz w:val="24"/>
        </w:rPr>
        <w:t>我司未征得贵司书面同意，不得对贵司的保密信息进行摘录、摘要、复制、修改、逆向工程、反编译、反汇编、拆解或衍生创作，不得删除、套印或涂抹贵司所披露的保密信息的任何原件或复制件上的任何著作权、商标、标识、图例或其他所有权说明。</w:t>
      </w:r>
    </w:p>
    <w:p>
      <w:pPr>
        <w:widowControl/>
        <w:numPr>
          <w:ilvl w:val="0"/>
          <w:numId w:val="14"/>
        </w:numPr>
        <w:spacing w:line="500" w:lineRule="exact"/>
        <w:ind w:firstLine="560"/>
        <w:jc w:val="left"/>
        <w:rPr>
          <w:rFonts w:hint="eastAsia" w:ascii="仿宋" w:hAnsi="仿宋" w:cs="仿宋"/>
          <w:sz w:val="24"/>
        </w:rPr>
      </w:pPr>
      <w:r>
        <w:rPr>
          <w:rFonts w:hint="eastAsia" w:ascii="仿宋" w:hAnsi="仿宋" w:cs="仿宋"/>
          <w:sz w:val="24"/>
        </w:rPr>
        <w:t>我司的保密义务没有期限限制，即使本协议终止或解除或双方终止合作关系，只要相关保密信息未被公开，我司仍继续负有保密义务。</w:t>
      </w:r>
    </w:p>
    <w:p>
      <w:pPr>
        <w:widowControl/>
        <w:numPr>
          <w:ilvl w:val="0"/>
          <w:numId w:val="12"/>
        </w:numPr>
        <w:spacing w:line="500" w:lineRule="exact"/>
        <w:ind w:firstLine="560"/>
        <w:jc w:val="left"/>
        <w:rPr>
          <w:rFonts w:hint="eastAsia" w:ascii="仿宋" w:hAnsi="仿宋" w:cs="仿宋"/>
          <w:sz w:val="24"/>
        </w:rPr>
      </w:pPr>
      <w:r>
        <w:rPr>
          <w:rFonts w:hint="eastAsia" w:ascii="仿宋" w:hAnsi="仿宋" w:cs="仿宋"/>
          <w:sz w:val="24"/>
        </w:rPr>
        <w:t>我司承诺践诺，履行产品质量主体责任。牢固树立“质量第一”意识，严格按照招标文件、投标响应、供货合同等相关约定，生产并提供满足技术规范要求的合格产品，保证出厂产品质量。增强企业全员产品质量主体责任意识，建立健全质量责任制度，明确岗位职责，把质量责任落实到生产经营的每一个环节和每一名员工。</w:t>
      </w:r>
    </w:p>
    <w:p>
      <w:pPr>
        <w:widowControl/>
        <w:numPr>
          <w:ilvl w:val="0"/>
          <w:numId w:val="12"/>
        </w:numPr>
        <w:spacing w:line="500" w:lineRule="exact"/>
        <w:ind w:firstLine="560"/>
        <w:jc w:val="left"/>
        <w:rPr>
          <w:rFonts w:hint="eastAsia" w:ascii="仿宋" w:hAnsi="仿宋" w:cs="仿宋"/>
          <w:sz w:val="24"/>
        </w:rPr>
      </w:pPr>
      <w:r>
        <w:rPr>
          <w:rFonts w:hint="eastAsia" w:ascii="仿宋" w:hAnsi="仿宋" w:cs="仿宋"/>
          <w:sz w:val="24"/>
        </w:rPr>
        <w:t>我司始终坚持诚信至上，诚实守信依法经营。依法依规参与招投标并按中标要求履约供货承诺和从事生产经营活动，坚决杜绝采用不正常手段从事非正常投标活动，坚决杜绝偷工减料、以次充好，坚决杜绝违规转分包，自觉抵制恶意低价竞标、虚假投标、联合串标、恶意违约等不诚信行为，自觉接受社会、用户的监督。</w:t>
      </w:r>
    </w:p>
    <w:p>
      <w:pPr>
        <w:widowControl/>
        <w:numPr>
          <w:ilvl w:val="0"/>
          <w:numId w:val="12"/>
        </w:numPr>
        <w:spacing w:line="500" w:lineRule="exact"/>
        <w:ind w:firstLine="560"/>
        <w:rPr>
          <w:rFonts w:hint="eastAsia" w:ascii="仿宋" w:hAnsi="仿宋" w:cs="仿宋"/>
          <w:sz w:val="24"/>
        </w:rPr>
      </w:pPr>
      <w:r>
        <w:rPr>
          <w:rFonts w:hint="eastAsia" w:ascii="仿宋" w:hAnsi="仿宋" w:cs="仿宋"/>
          <w:sz w:val="24"/>
        </w:rPr>
        <w:t>我司始终坚持严格管理，强化制造过程质量控制。推行先进质量管理方法，完善质量保证体系、标准化体系和检验检测体系，严格执行产品质量标准，从产品设计、原材料组部件采购、生产加工、包装、储存、运输等各个环节，实施全面的质量管控，不断提高产品质量。</w:t>
      </w:r>
    </w:p>
    <w:p>
      <w:pPr>
        <w:widowControl/>
        <w:numPr>
          <w:ilvl w:val="0"/>
          <w:numId w:val="12"/>
        </w:numPr>
        <w:spacing w:line="500" w:lineRule="exact"/>
        <w:ind w:firstLine="561"/>
        <w:rPr>
          <w:rFonts w:hint="eastAsia" w:ascii="仿宋" w:hAnsi="仿宋" w:cs="仿宋"/>
          <w:sz w:val="24"/>
        </w:rPr>
      </w:pPr>
      <w:r>
        <w:rPr>
          <w:rFonts w:hint="eastAsia" w:ascii="仿宋" w:hAnsi="仿宋" w:cs="仿宋"/>
          <w:sz w:val="24"/>
        </w:rPr>
        <w:t>我司始终坚持积极主动，大力提升售后服务水平。健全和完善产品质量追溯和售后服务制度，对不合格产品实行有效追溯、召回和处理，对违反规定或约定的行为，积极承担相应的责任。做好现场的技术支持，加强设备运行后的信息跟踪和售后服务，提升用户满意度。</w:t>
      </w:r>
    </w:p>
    <w:p>
      <w:pPr>
        <w:widowControl/>
        <w:numPr>
          <w:ilvl w:val="0"/>
          <w:numId w:val="12"/>
        </w:numPr>
        <w:spacing w:line="500" w:lineRule="exact"/>
        <w:ind w:firstLine="560"/>
        <w:rPr>
          <w:rFonts w:hint="eastAsia" w:ascii="仿宋" w:hAnsi="仿宋" w:cs="仿宋"/>
          <w:sz w:val="24"/>
        </w:rPr>
      </w:pPr>
      <w:r>
        <w:rPr>
          <w:rFonts w:hint="eastAsia" w:ascii="仿宋" w:hAnsi="仿宋" w:cs="仿宋"/>
          <w:sz w:val="24"/>
        </w:rPr>
        <w:t>我司始终坚持重视研发，不断增强自主创新能力。积极选用新工艺、新材料、新设备，积极发展环保型、节约型、高能效技术，采用国内外先进标准，不断提高技术研发水平，实施以质量诚信为核心内容的品牌发展战略，不断提升创新发展的核心竞争力。</w:t>
      </w:r>
    </w:p>
    <w:p>
      <w:pPr>
        <w:widowControl/>
        <w:numPr>
          <w:ilvl w:val="0"/>
          <w:numId w:val="12"/>
        </w:numPr>
        <w:spacing w:line="500" w:lineRule="exact"/>
        <w:ind w:firstLine="561"/>
        <w:rPr>
          <w:rFonts w:hint="eastAsia" w:ascii="仿宋" w:hAnsi="仿宋" w:cs="仿宋"/>
          <w:sz w:val="24"/>
        </w:rPr>
      </w:pPr>
      <w:r>
        <w:rPr>
          <w:rFonts w:hint="eastAsia" w:ascii="仿宋" w:hAnsi="仿宋" w:cs="仿宋"/>
          <w:sz w:val="24"/>
        </w:rPr>
        <w:t>贵司如发现我司</w:t>
      </w:r>
      <w:r>
        <w:rPr>
          <w:rFonts w:hint="eastAsia" w:ascii="仿宋" w:hAnsi="仿宋"/>
          <w:sz w:val="24"/>
        </w:rPr>
        <w:t>和/</w:t>
      </w:r>
      <w:r>
        <w:rPr>
          <w:rFonts w:ascii="仿宋" w:hAnsi="仿宋"/>
          <w:sz w:val="24"/>
        </w:rPr>
        <w:t>或我司</w:t>
      </w:r>
      <w:r>
        <w:rPr>
          <w:rFonts w:hint="eastAsia" w:ascii="仿宋" w:hAnsi="仿宋" w:cs="仿宋"/>
          <w:sz w:val="24"/>
        </w:rPr>
        <w:t>人员</w:t>
      </w:r>
      <w:r>
        <w:rPr>
          <w:rFonts w:hint="eastAsia" w:ascii="仿宋" w:hAnsi="仿宋"/>
          <w:sz w:val="24"/>
        </w:rPr>
        <w:t>在招标或中标后</w:t>
      </w:r>
      <w:r>
        <w:rPr>
          <w:rFonts w:ascii="仿宋" w:hAnsi="仿宋"/>
          <w:sz w:val="24"/>
        </w:rPr>
        <w:t>或</w:t>
      </w:r>
      <w:r>
        <w:rPr>
          <w:rFonts w:hint="eastAsia" w:ascii="仿宋" w:hAnsi="仿宋"/>
          <w:sz w:val="24"/>
        </w:rPr>
        <w:t>已经签署协议后</w:t>
      </w:r>
      <w:r>
        <w:rPr>
          <w:rFonts w:ascii="仿宋" w:hAnsi="仿宋"/>
          <w:sz w:val="24"/>
        </w:rPr>
        <w:t>有</w:t>
      </w:r>
      <w:r>
        <w:rPr>
          <w:rFonts w:hint="eastAsia" w:ascii="仿宋" w:hAnsi="仿宋" w:cs="仿宋"/>
          <w:sz w:val="24"/>
        </w:rPr>
        <w:t>违反上述承诺</w:t>
      </w:r>
      <w:r>
        <w:rPr>
          <w:rFonts w:hint="eastAsia" w:ascii="仿宋" w:hAnsi="仿宋"/>
          <w:sz w:val="24"/>
        </w:rPr>
        <w:t>内容</w:t>
      </w:r>
      <w:r>
        <w:rPr>
          <w:rFonts w:ascii="仿宋" w:hAnsi="仿宋"/>
          <w:sz w:val="24"/>
        </w:rPr>
        <w:t>或远东集团内部管理制度或违反招投标法等法律法规的规定</w:t>
      </w:r>
      <w:r>
        <w:rPr>
          <w:rFonts w:hint="eastAsia" w:ascii="仿宋" w:hAnsi="仿宋" w:cs="仿宋"/>
          <w:sz w:val="24"/>
        </w:rPr>
        <w:t>，贵司有权</w:t>
      </w:r>
      <w:r>
        <w:rPr>
          <w:rFonts w:hint="eastAsia" w:ascii="仿宋" w:hAnsi="仿宋"/>
          <w:sz w:val="24"/>
        </w:rPr>
        <w:t>直接同时</w:t>
      </w:r>
      <w:r>
        <w:rPr>
          <w:rFonts w:hint="eastAsia" w:ascii="仿宋" w:hAnsi="仿宋" w:cs="仿宋"/>
          <w:sz w:val="24"/>
        </w:rPr>
        <w:t>要求</w:t>
      </w:r>
      <w:r>
        <w:rPr>
          <w:rFonts w:hint="eastAsia" w:ascii="仿宋" w:hAnsi="仿宋"/>
          <w:sz w:val="24"/>
        </w:rPr>
        <w:t>废除我司投标资格</w:t>
      </w:r>
      <w:r>
        <w:rPr>
          <w:rFonts w:ascii="仿宋" w:hAnsi="仿宋"/>
          <w:sz w:val="24"/>
        </w:rPr>
        <w:t>、没收我司保证金、取消中标、解除合同、要求我司</w:t>
      </w:r>
      <w:r>
        <w:rPr>
          <w:rFonts w:hint="eastAsia" w:ascii="仿宋" w:hAnsi="仿宋" w:cs="仿宋"/>
          <w:sz w:val="24"/>
        </w:rPr>
        <w:t>承担</w:t>
      </w:r>
      <w:r>
        <w:rPr>
          <w:rFonts w:ascii="仿宋" w:hAnsi="仿宋"/>
          <w:sz w:val="24"/>
        </w:rPr>
        <w:t>招</w:t>
      </w:r>
      <w:r>
        <w:rPr>
          <w:rFonts w:hint="eastAsia" w:ascii="仿宋" w:hAnsi="仿宋"/>
          <w:sz w:val="24"/>
        </w:rPr>
        <w:t>标金额</w:t>
      </w:r>
      <w:r>
        <w:rPr>
          <w:rFonts w:ascii="仿宋" w:hAnsi="仿宋"/>
          <w:sz w:val="24"/>
        </w:rPr>
        <w:t>20%</w:t>
      </w:r>
      <w:r>
        <w:rPr>
          <w:rFonts w:hint="eastAsia" w:ascii="仿宋" w:hAnsi="仿宋" w:cs="仿宋"/>
          <w:sz w:val="24"/>
        </w:rPr>
        <w:t>违约金</w:t>
      </w:r>
      <w:r>
        <w:rPr>
          <w:rFonts w:ascii="仿宋" w:hAnsi="仿宋"/>
          <w:sz w:val="24"/>
        </w:rPr>
        <w:t>或要求按照我司全部损失的</w:t>
      </w:r>
      <w:r>
        <w:rPr>
          <w:rFonts w:hint="eastAsia" w:ascii="仿宋" w:hAnsi="仿宋"/>
          <w:sz w:val="24"/>
        </w:rPr>
        <w:t>3</w:t>
      </w:r>
      <w:r>
        <w:rPr>
          <w:rFonts w:ascii="仿宋" w:hAnsi="仿宋"/>
          <w:sz w:val="24"/>
        </w:rPr>
        <w:t>倍进行赔偿，全部损失包括但不限于重新组织招投标的损失、因重新招投标导致的项目延迟等的全部经济损失、</w:t>
      </w:r>
      <w:r>
        <w:rPr>
          <w:rFonts w:hint="eastAsia" w:ascii="仿宋" w:hAnsi="仿宋"/>
          <w:sz w:val="24"/>
        </w:rPr>
        <w:t>原材料涨价等所有损失</w:t>
      </w:r>
      <w:r>
        <w:rPr>
          <w:rFonts w:ascii="仿宋" w:hAnsi="仿宋"/>
          <w:sz w:val="24"/>
        </w:rPr>
        <w:t>；涉及刑事的，我司除承担上述责任外，我司还应按照犯罪金额的</w:t>
      </w:r>
      <w:r>
        <w:rPr>
          <w:rFonts w:hint="eastAsia" w:ascii="仿宋" w:hAnsi="仿宋"/>
          <w:sz w:val="24"/>
        </w:rPr>
        <w:t>3</w:t>
      </w:r>
      <w:r>
        <w:rPr>
          <w:rFonts w:ascii="仿宋" w:hAnsi="仿宋"/>
          <w:sz w:val="24"/>
        </w:rPr>
        <w:t>倍向贵方承担责任，并有权依法</w:t>
      </w:r>
      <w:r>
        <w:rPr>
          <w:rFonts w:hint="eastAsia" w:ascii="仿宋" w:hAnsi="仿宋" w:cs="仿宋"/>
          <w:sz w:val="24"/>
        </w:rPr>
        <w:t>追究我司</w:t>
      </w:r>
      <w:r>
        <w:rPr>
          <w:rFonts w:ascii="仿宋" w:hAnsi="仿宋"/>
          <w:sz w:val="24"/>
        </w:rPr>
        <w:t>相关</w:t>
      </w:r>
      <w:r>
        <w:rPr>
          <w:rFonts w:hint="eastAsia" w:ascii="仿宋" w:hAnsi="仿宋" w:cs="仿宋"/>
          <w:sz w:val="24"/>
        </w:rPr>
        <w:t>法律责任：</w:t>
      </w:r>
    </w:p>
    <w:p>
      <w:pPr>
        <w:widowControl/>
        <w:numPr>
          <w:ilvl w:val="0"/>
          <w:numId w:val="15"/>
        </w:numPr>
        <w:spacing w:line="500" w:lineRule="exact"/>
        <w:ind w:firstLine="200"/>
        <w:jc w:val="left"/>
        <w:rPr>
          <w:rFonts w:hint="eastAsia" w:ascii="仿宋" w:hAnsi="仿宋" w:cs="仿宋"/>
          <w:sz w:val="24"/>
        </w:rPr>
      </w:pPr>
      <w:r>
        <w:rPr>
          <w:rFonts w:hint="eastAsia" w:ascii="仿宋" w:hAnsi="仿宋" w:cs="仿宋"/>
          <w:sz w:val="24"/>
        </w:rPr>
        <w:t>即使在双方终止和解除业务关系后，如贵司发现我司存在违反</w:t>
      </w:r>
      <w:r>
        <w:rPr>
          <w:rFonts w:hint="eastAsia" w:ascii="仿宋" w:hAnsi="仿宋"/>
          <w:sz w:val="24"/>
        </w:rPr>
        <w:t>上述承诺</w:t>
      </w:r>
      <w:r>
        <w:rPr>
          <w:rFonts w:hint="eastAsia" w:ascii="仿宋" w:hAnsi="仿宋" w:cs="仿宋"/>
          <w:sz w:val="24"/>
        </w:rPr>
        <w:t>行为的，仍有权</w:t>
      </w:r>
      <w:r>
        <w:rPr>
          <w:rFonts w:hint="eastAsia" w:ascii="仿宋" w:hAnsi="仿宋"/>
          <w:sz w:val="24"/>
        </w:rPr>
        <w:t>追究</w:t>
      </w:r>
      <w:r>
        <w:rPr>
          <w:rFonts w:hint="eastAsia" w:ascii="仿宋" w:hAnsi="仿宋" w:cs="仿宋"/>
          <w:sz w:val="24"/>
        </w:rPr>
        <w:t>我司责任。</w:t>
      </w:r>
    </w:p>
    <w:p>
      <w:pPr>
        <w:widowControl/>
        <w:numPr>
          <w:ilvl w:val="0"/>
          <w:numId w:val="15"/>
        </w:numPr>
        <w:spacing w:line="500" w:lineRule="exact"/>
        <w:ind w:firstLine="200"/>
        <w:rPr>
          <w:rFonts w:hint="eastAsia" w:ascii="仿宋" w:hAnsi="仿宋" w:cs="仿宋"/>
          <w:sz w:val="24"/>
        </w:rPr>
      </w:pPr>
      <w:r>
        <w:rPr>
          <w:rFonts w:hint="eastAsia" w:ascii="仿宋" w:hAnsi="仿宋"/>
          <w:sz w:val="24"/>
        </w:rPr>
        <w:t>法律适用范围：如相关法律与本承诺</w:t>
      </w:r>
      <w:r>
        <w:rPr>
          <w:rFonts w:hint="eastAsia" w:ascii="仿宋" w:hAnsi="仿宋" w:cs="仿宋"/>
          <w:sz w:val="24"/>
        </w:rPr>
        <w:t>发生</w:t>
      </w:r>
      <w:r>
        <w:rPr>
          <w:rFonts w:hint="eastAsia" w:ascii="仿宋" w:hAnsi="仿宋"/>
          <w:sz w:val="24"/>
        </w:rPr>
        <w:t>抵触时，则此条款完全按照法律规定重新解释，而其他条款继续有效。因本承诺所引起的任何争议应通过远东智慧能源股份有限公司</w:t>
      </w:r>
      <w:r>
        <w:rPr>
          <w:rFonts w:hint="eastAsia" w:ascii="仿宋" w:hAnsi="仿宋" w:cs="仿宋"/>
          <w:sz w:val="24"/>
        </w:rPr>
        <w:t>所在地</w:t>
      </w:r>
      <w:r>
        <w:rPr>
          <w:rFonts w:hint="eastAsia" w:ascii="仿宋" w:hAnsi="仿宋"/>
          <w:sz w:val="24"/>
        </w:rPr>
        <w:t>有管辖权的</w:t>
      </w:r>
      <w:r>
        <w:rPr>
          <w:rFonts w:hint="eastAsia" w:ascii="仿宋" w:hAnsi="仿宋" w:cs="仿宋"/>
          <w:sz w:val="24"/>
        </w:rPr>
        <w:t>人民法院</w:t>
      </w:r>
      <w:r>
        <w:rPr>
          <w:rFonts w:hint="eastAsia" w:ascii="仿宋" w:hAnsi="仿宋"/>
          <w:sz w:val="24"/>
        </w:rPr>
        <w:t>诉讼解决</w:t>
      </w:r>
      <w:r>
        <w:rPr>
          <w:rFonts w:hint="eastAsia" w:ascii="仿宋" w:hAnsi="仿宋" w:cs="仿宋"/>
          <w:sz w:val="24"/>
        </w:rPr>
        <w:t>。</w:t>
      </w:r>
    </w:p>
    <w:p>
      <w:pPr>
        <w:widowControl/>
        <w:numPr>
          <w:ilvl w:val="0"/>
          <w:numId w:val="15"/>
        </w:numPr>
        <w:spacing w:line="500" w:lineRule="exact"/>
        <w:ind w:firstLine="200"/>
        <w:rPr>
          <w:rFonts w:hint="eastAsia" w:ascii="仿宋" w:hAnsi="仿宋"/>
          <w:sz w:val="24"/>
        </w:rPr>
      </w:pPr>
      <w:r>
        <w:rPr>
          <w:rFonts w:hint="eastAsia" w:ascii="仿宋" w:hAnsi="仿宋"/>
          <w:sz w:val="24"/>
        </w:rPr>
        <w:t>若贵司有违反上述廉洁承诺向我司进行任何形式的索贿行为，我司及时向贵司以下公示廉政渠道进行投诉：</w:t>
      </w:r>
      <w:r>
        <w:rPr>
          <w:rFonts w:hint="eastAsia" w:ascii="仿宋" w:hAnsi="仿宋"/>
          <w:sz w:val="24"/>
        </w:rPr>
        <w:br w:type="textWrapping"/>
      </w:r>
      <w:r>
        <w:rPr>
          <w:rFonts w:hint="eastAsia" w:ascii="仿宋" w:hAnsi="仿宋"/>
          <w:sz w:val="24"/>
        </w:rPr>
        <w:t>（1）邮箱：lianzheng@600869.com</w:t>
      </w:r>
      <w:r>
        <w:rPr>
          <w:rFonts w:hint="eastAsia" w:ascii="仿宋" w:hAnsi="仿宋"/>
          <w:sz w:val="24"/>
        </w:rPr>
        <w:br w:type="textWrapping"/>
      </w:r>
      <w:r>
        <w:rPr>
          <w:rFonts w:hint="eastAsia" w:ascii="仿宋" w:hAnsi="仿宋"/>
          <w:sz w:val="24"/>
        </w:rPr>
        <w:t>（2）电话：0510-87249555</w:t>
      </w:r>
    </w:p>
    <w:p>
      <w:pPr>
        <w:widowControl/>
        <w:spacing w:line="500" w:lineRule="exact"/>
        <w:ind w:left="1" w:right="1260"/>
        <w:jc w:val="right"/>
        <w:rPr>
          <w:rFonts w:hint="eastAsia" w:ascii="仿宋" w:hAnsi="仿宋" w:cs="仿宋"/>
          <w:sz w:val="24"/>
        </w:rPr>
      </w:pPr>
    </w:p>
    <w:p>
      <w:pPr>
        <w:widowControl/>
        <w:spacing w:line="500" w:lineRule="exact"/>
        <w:ind w:left="1" w:right="1260"/>
        <w:jc w:val="right"/>
        <w:rPr>
          <w:rFonts w:hint="eastAsia" w:ascii="仿宋" w:hAnsi="仿宋" w:cs="仿宋"/>
          <w:sz w:val="24"/>
        </w:rPr>
      </w:pPr>
      <w:r>
        <w:rPr>
          <w:rFonts w:hint="eastAsia" w:ascii="仿宋" w:hAnsi="仿宋" w:cs="仿宋"/>
          <w:sz w:val="24"/>
        </w:rPr>
        <w:t>投标方（盖章）：</w:t>
      </w:r>
    </w:p>
    <w:p>
      <w:pPr>
        <w:widowControl/>
        <w:spacing w:line="500" w:lineRule="exact"/>
        <w:ind w:left="1" w:firstLine="424" w:firstLineChars="177"/>
        <w:jc w:val="left"/>
        <w:rPr>
          <w:rFonts w:hint="eastAsia" w:ascii="仿宋" w:hAnsi="仿宋" w:cs="仿宋"/>
          <w:sz w:val="24"/>
        </w:rPr>
      </w:pPr>
      <w:r>
        <w:rPr>
          <w:rFonts w:hint="eastAsia" w:ascii="仿宋" w:hAnsi="仿宋" w:cs="仿宋"/>
          <w:sz w:val="24"/>
        </w:rPr>
        <w:t xml:space="preserve">                                           签  字：</w:t>
      </w:r>
    </w:p>
    <w:p>
      <w:pPr>
        <w:widowControl/>
        <w:spacing w:line="500" w:lineRule="exact"/>
        <w:ind w:left="1" w:firstLine="424" w:firstLineChars="177"/>
        <w:jc w:val="left"/>
        <w:rPr>
          <w:rFonts w:hint="eastAsia" w:ascii="仿宋" w:hAnsi="仿宋" w:cs="仿宋"/>
          <w:sz w:val="24"/>
        </w:rPr>
      </w:pPr>
      <w:r>
        <w:rPr>
          <w:rFonts w:hint="eastAsia" w:ascii="仿宋" w:hAnsi="仿宋" w:cs="仿宋"/>
          <w:sz w:val="24"/>
        </w:rPr>
        <w:t xml:space="preserve">                                           日  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等线 Light">
    <w:altName w:val="Noto Serif CJK SC"/>
    <w:panose1 w:val="02010600030101010101"/>
    <w:charset w:val="86"/>
    <w:family w:val="auto"/>
    <w:pitch w:val="default"/>
    <w:sig w:usb0="00000000" w:usb1="00000000" w:usb2="00000016" w:usb3="00000000" w:csb0="0004000F" w:csb1="00000000"/>
  </w:font>
  <w:font w:name="Calibri Light">
    <w:altName w:val="Arial"/>
    <w:panose1 w:val="020F0302020204030204"/>
    <w:charset w:val="00"/>
    <w:family w:val="swiss"/>
    <w:pitch w:val="default"/>
    <w:sig w:usb0="00000000" w:usb1="00000000" w:usb2="00000009" w:usb3="00000000" w:csb0="000001FF" w:csb1="00000000"/>
  </w:font>
  <w:font w:name="仿宋">
    <w:altName w:val="汉仪仿宋KW"/>
    <w:panose1 w:val="02010609060101010101"/>
    <w:charset w:val="86"/>
    <w:family w:val="modern"/>
    <w:pitch w:val="default"/>
    <w:sig w:usb0="00000000" w:usb1="00000000"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仿宋_GB2312">
    <w:altName w:val="汉仪仿宋KW"/>
    <w:panose1 w:val="00000000000000000000"/>
    <w:charset w:val="86"/>
    <w:family w:val="auto"/>
    <w:pitch w:val="default"/>
    <w:sig w:usb0="00000000" w:usb1="00000000" w:usb2="0000001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楷体_GB2312">
    <w:altName w:val="汉仪楷体KW"/>
    <w:panose1 w:val="00000000000000000000"/>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Segoe UI">
    <w:altName w:val="Arial"/>
    <w:panose1 w:val="020B0502040204020203"/>
    <w:charset w:val="00"/>
    <w:family w:val="swiss"/>
    <w:pitch w:val="default"/>
    <w:sig w:usb0="00000000" w:usb1="00000000" w:usb2="00000009" w:usb3="00000000" w:csb0="000001FF" w:csb1="00000000"/>
  </w:font>
  <w:font w:name="微软雅黑">
    <w:altName w:val="汉仪旗黑KW 55S"/>
    <w:panose1 w:val="020B0503020204020204"/>
    <w:charset w:val="86"/>
    <w:family w:val="swiss"/>
    <w:pitch w:val="default"/>
    <w:sig w:usb0="00000000" w:usb1="00000000" w:usb2="00000016" w:usb3="00000000" w:csb0="0004001F" w:csb1="00000000"/>
  </w:font>
  <w:font w:name="汉仪中等线KW">
    <w:panose1 w:val="01010104010101010101"/>
    <w:charset w:val="86"/>
    <w:family w:val="auto"/>
    <w:pitch w:val="default"/>
    <w:sig w:usb0="800002BF" w:usb1="004F7CFA" w:usb2="00000000" w:usb3="00000000" w:csb0="00040001" w:csb1="00000000"/>
  </w:font>
  <w:font w:name="Noto Serif CJK SC">
    <w:panose1 w:val="02020400000000000000"/>
    <w:charset w:val="86"/>
    <w:family w:val="auto"/>
    <w:pitch w:val="default"/>
    <w:sig w:usb0="30000083" w:usb1="2BDF3C10" w:usb2="00000016" w:usb3="00000000" w:csb0="602E0107" w:csb1="00000000"/>
  </w:font>
  <w:font w:name="汉仪仿宋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汉仪旗黑KW 55S">
    <w:panose1 w:val="00020600040101010101"/>
    <w:charset w:val="86"/>
    <w:family w:val="auto"/>
    <w:pitch w:val="default"/>
    <w:sig w:usb0="A00002BF" w:usb1="3ACF7CFA" w:usb2="00000016" w:usb3="00000000" w:csb0="0004009F" w:csb1="DFD70000"/>
  </w:font>
  <w:font w:name="等线 Light">
    <w:altName w:val="汉仪中等线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63224216"/>
      <w:docPartObj>
        <w:docPartGallery w:val="AutoText"/>
      </w:docPartObj>
    </w:sdtPr>
    <w:sdtContent>
      <w:p>
        <w:pPr>
          <w:pStyle w:val="13"/>
          <w:jc w:val="center"/>
        </w:pPr>
        <w:r>
          <w:fldChar w:fldCharType="begin"/>
        </w:r>
        <w:r>
          <w:instrText xml:space="preserve">PAGE   \* MERGEFORMAT</w:instrText>
        </w:r>
        <w:r>
          <w:fldChar w:fldCharType="separate"/>
        </w:r>
        <w:r>
          <w:rPr>
            <w:lang w:val="zh-CN"/>
          </w:rPr>
          <w:t>45</w:t>
        </w:r>
        <w:r>
          <w:fldChar w:fldCharType="end"/>
        </w:r>
      </w:p>
    </w:sdtContent>
  </w:sdt>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left"/>
    </w:pPr>
    <w:r>
      <w:drawing>
        <wp:inline distT="0" distB="0" distL="0" distR="0">
          <wp:extent cx="2260600" cy="309245"/>
          <wp:effectExtent l="0" t="0" r="6350" b="0"/>
          <wp:docPr id="194343326" name="图片 194343326"/>
          <wp:cNvGraphicFramePr/>
          <a:graphic xmlns:a="http://schemas.openxmlformats.org/drawingml/2006/main">
            <a:graphicData uri="http://schemas.openxmlformats.org/drawingml/2006/picture">
              <pic:pic xmlns:pic="http://schemas.openxmlformats.org/drawingml/2006/picture">
                <pic:nvPicPr>
                  <pic:cNvPr id="194343326" name="图片 194343326"/>
                  <pic:cNvPicPr/>
                </pic:nvPicPr>
                <pic:blipFill>
                  <a:blip r:embed="rId1"/>
                  <a:stretch>
                    <a:fillRect/>
                  </a:stretch>
                </pic:blipFill>
                <pic:spPr>
                  <a:xfrm>
                    <a:off x="0" y="0"/>
                    <a:ext cx="2260600" cy="3092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6DB252"/>
    <w:multiLevelType w:val="singleLevel"/>
    <w:tmpl w:val="8E6DB252"/>
    <w:lvl w:ilvl="0" w:tentative="0">
      <w:start w:val="1"/>
      <w:numFmt w:val="decimal"/>
      <w:lvlText w:val="%1."/>
      <w:lvlJc w:val="left"/>
      <w:pPr>
        <w:ind w:left="425" w:hanging="425"/>
      </w:pPr>
      <w:rPr>
        <w:rFonts w:hint="default"/>
      </w:rPr>
    </w:lvl>
  </w:abstractNum>
  <w:abstractNum w:abstractNumId="1">
    <w:nsid w:val="B2783872"/>
    <w:multiLevelType w:val="singleLevel"/>
    <w:tmpl w:val="B2783872"/>
    <w:lvl w:ilvl="0" w:tentative="0">
      <w:start w:val="1"/>
      <w:numFmt w:val="decimal"/>
      <w:lvlText w:val="%1."/>
      <w:lvlJc w:val="left"/>
      <w:pPr>
        <w:ind w:left="425" w:hanging="425"/>
      </w:pPr>
      <w:rPr>
        <w:rFonts w:hint="default"/>
      </w:rPr>
    </w:lvl>
  </w:abstractNum>
  <w:abstractNum w:abstractNumId="2">
    <w:nsid w:val="D8CF04C2"/>
    <w:multiLevelType w:val="singleLevel"/>
    <w:tmpl w:val="D8CF04C2"/>
    <w:lvl w:ilvl="0" w:tentative="0">
      <w:start w:val="9"/>
      <w:numFmt w:val="chineseCounting"/>
      <w:suff w:val="nothing"/>
      <w:lvlText w:val="%1、"/>
      <w:lvlJc w:val="left"/>
      <w:rPr>
        <w:rFonts w:hint="eastAsia"/>
      </w:rPr>
    </w:lvl>
  </w:abstractNum>
  <w:abstractNum w:abstractNumId="3">
    <w:nsid w:val="00C35D6E"/>
    <w:multiLevelType w:val="multilevel"/>
    <w:tmpl w:val="00C35D6E"/>
    <w:lvl w:ilvl="0" w:tentative="0">
      <w:start w:val="4"/>
      <w:numFmt w:val="decimal"/>
      <w:lvlText w:val="%1"/>
      <w:lvlJc w:val="left"/>
      <w:pPr>
        <w:ind w:left="450" w:hanging="450"/>
      </w:pPr>
      <w:rPr>
        <w:rFonts w:hint="default"/>
      </w:rPr>
    </w:lvl>
    <w:lvl w:ilvl="1" w:tentative="0">
      <w:start w:val="1"/>
      <w:numFmt w:val="decimal"/>
      <w:lvlText w:val="%1.%2"/>
      <w:lvlJc w:val="left"/>
      <w:pPr>
        <w:ind w:left="1010" w:hanging="450"/>
      </w:pPr>
      <w:rPr>
        <w:rFonts w:hint="default"/>
      </w:rPr>
    </w:lvl>
    <w:lvl w:ilvl="2" w:tentative="0">
      <w:start w:val="1"/>
      <w:numFmt w:val="decimal"/>
      <w:lvlText w:val="%1.%2.%3"/>
      <w:lvlJc w:val="left"/>
      <w:pPr>
        <w:ind w:left="1840" w:hanging="720"/>
      </w:pPr>
      <w:rPr>
        <w:rFonts w:hint="default"/>
      </w:rPr>
    </w:lvl>
    <w:lvl w:ilvl="3" w:tentative="0">
      <w:start w:val="1"/>
      <w:numFmt w:val="decimal"/>
      <w:lvlText w:val="%1.%2.%3.%4"/>
      <w:lvlJc w:val="left"/>
      <w:pPr>
        <w:ind w:left="2760" w:hanging="1080"/>
      </w:pPr>
      <w:rPr>
        <w:rFonts w:hint="default"/>
      </w:rPr>
    </w:lvl>
    <w:lvl w:ilvl="4" w:tentative="0">
      <w:start w:val="1"/>
      <w:numFmt w:val="decimal"/>
      <w:lvlText w:val="%1.%2.%3.%4.%5"/>
      <w:lvlJc w:val="left"/>
      <w:pPr>
        <w:ind w:left="3320" w:hanging="1080"/>
      </w:pPr>
      <w:rPr>
        <w:rFonts w:hint="default"/>
      </w:rPr>
    </w:lvl>
    <w:lvl w:ilvl="5" w:tentative="0">
      <w:start w:val="1"/>
      <w:numFmt w:val="decimal"/>
      <w:lvlText w:val="%1.%2.%3.%4.%5.%6"/>
      <w:lvlJc w:val="left"/>
      <w:pPr>
        <w:ind w:left="4240" w:hanging="1440"/>
      </w:pPr>
      <w:rPr>
        <w:rFonts w:hint="default"/>
      </w:rPr>
    </w:lvl>
    <w:lvl w:ilvl="6" w:tentative="0">
      <w:start w:val="1"/>
      <w:numFmt w:val="decimal"/>
      <w:lvlText w:val="%1.%2.%3.%4.%5.%6.%7"/>
      <w:lvlJc w:val="left"/>
      <w:pPr>
        <w:ind w:left="4800" w:hanging="1440"/>
      </w:pPr>
      <w:rPr>
        <w:rFonts w:hint="default"/>
      </w:rPr>
    </w:lvl>
    <w:lvl w:ilvl="7" w:tentative="0">
      <w:start w:val="1"/>
      <w:numFmt w:val="decimal"/>
      <w:lvlText w:val="%1.%2.%3.%4.%5.%6.%7.%8"/>
      <w:lvlJc w:val="left"/>
      <w:pPr>
        <w:ind w:left="5720" w:hanging="1800"/>
      </w:pPr>
      <w:rPr>
        <w:rFonts w:hint="default"/>
      </w:rPr>
    </w:lvl>
    <w:lvl w:ilvl="8" w:tentative="0">
      <w:start w:val="1"/>
      <w:numFmt w:val="decimal"/>
      <w:lvlText w:val="%1.%2.%3.%4.%5.%6.%7.%8.%9"/>
      <w:lvlJc w:val="left"/>
      <w:pPr>
        <w:ind w:left="6640" w:hanging="2160"/>
      </w:pPr>
      <w:rPr>
        <w:rFonts w:hint="default"/>
      </w:rPr>
    </w:lvl>
  </w:abstractNum>
  <w:abstractNum w:abstractNumId="4">
    <w:nsid w:val="06F178F2"/>
    <w:multiLevelType w:val="multilevel"/>
    <w:tmpl w:val="06F178F2"/>
    <w:lvl w:ilvl="0" w:tentative="0">
      <w:start w:val="1"/>
      <w:numFmt w:val="decimal"/>
      <w:lvlText w:val="%1、"/>
      <w:lvlJc w:val="left"/>
      <w:pPr>
        <w:ind w:left="839" w:hanging="360"/>
      </w:p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abstractNum w:abstractNumId="5">
    <w:nsid w:val="11D83EC0"/>
    <w:multiLevelType w:val="multilevel"/>
    <w:tmpl w:val="11D83EC0"/>
    <w:lvl w:ilvl="0" w:tentative="0">
      <w:start w:val="1"/>
      <w:numFmt w:val="decimal"/>
      <w:lvlText w:val="%1"/>
      <w:lvlJc w:val="left"/>
      <w:pPr>
        <w:tabs>
          <w:tab w:val="left" w:pos="432"/>
        </w:tabs>
        <w:ind w:left="432" w:hanging="432"/>
      </w:pPr>
    </w:lvl>
    <w:lvl w:ilvl="1" w:tentative="0">
      <w:start w:val="1"/>
      <w:numFmt w:val="chineseCountingThousand"/>
      <w:lvlText w:val="(%2)"/>
      <w:lvlJc w:val="left"/>
      <w:pPr>
        <w:tabs>
          <w:tab w:val="left" w:pos="576"/>
        </w:tabs>
        <w:ind w:left="576" w:hanging="576"/>
      </w:pPr>
    </w:lvl>
    <w:lvl w:ilvl="2" w:tentative="0">
      <w:start w:val="1"/>
      <w:numFmt w:val="decimal"/>
      <w:lvlText w:val="%1.%2.%3"/>
      <w:lvlJc w:val="left"/>
      <w:pPr>
        <w:tabs>
          <w:tab w:val="left" w:pos="4265"/>
        </w:tabs>
        <w:ind w:left="4265" w:hanging="720"/>
      </w:pPr>
    </w:lvl>
    <w:lvl w:ilvl="3" w:tentative="0">
      <w:start w:val="1"/>
      <w:numFmt w:val="decimal"/>
      <w:lvlText w:val="%4."/>
      <w:lvlJc w:val="left"/>
      <w:pPr>
        <w:tabs>
          <w:tab w:val="left" w:pos="567"/>
        </w:tabs>
        <w:ind w:left="936" w:hanging="680"/>
      </w:pPr>
      <w:rPr>
        <w:rFonts w:hint="eastAsia" w:ascii="宋体" w:hAnsi="宋体" w:eastAsia="宋体" w:cs="Times New Roman"/>
      </w:rPr>
    </w:lvl>
    <w:lvl w:ilvl="4" w:tentative="0">
      <w:start w:val="1"/>
      <w:numFmt w:val="decimal"/>
      <w:lvlText w:val="%5）"/>
      <w:lvlJc w:val="left"/>
      <w:pPr>
        <w:tabs>
          <w:tab w:val="left" w:pos="567"/>
        </w:tabs>
        <w:ind w:left="936" w:hanging="680"/>
      </w:pPr>
    </w:lvl>
    <w:lvl w:ilvl="5" w:tentative="0">
      <w:start w:val="1"/>
      <w:numFmt w:val="lowerLetter"/>
      <w:lvlText w:val="%6）"/>
      <w:lvlJc w:val="left"/>
      <w:pPr>
        <w:tabs>
          <w:tab w:val="left" w:pos="567"/>
        </w:tabs>
        <w:ind w:left="936" w:hanging="680"/>
      </w:pPr>
    </w:lvl>
    <w:lvl w:ilvl="6" w:tentative="0">
      <w:start w:val="1"/>
      <w:numFmt w:val="lowerRoman"/>
      <w:lvlText w:val="%7"/>
      <w:lvlJc w:val="left"/>
      <w:pPr>
        <w:tabs>
          <w:tab w:val="left" w:pos="567"/>
        </w:tabs>
        <w:ind w:left="936" w:hanging="680"/>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6">
    <w:nsid w:val="301F56F8"/>
    <w:multiLevelType w:val="multilevel"/>
    <w:tmpl w:val="301F56F8"/>
    <w:lvl w:ilvl="0" w:tentative="0">
      <w:start w:val="1"/>
      <w:numFmt w:val="bullet"/>
      <w:lvlText w:val=""/>
      <w:lvlJc w:val="left"/>
      <w:pPr>
        <w:ind w:left="420" w:hanging="420"/>
      </w:pPr>
      <w:rPr>
        <w:rFonts w:hint="default" w:ascii="Symbol" w:hAnsi="Symbol"/>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4A3B6DB3"/>
    <w:multiLevelType w:val="multilevel"/>
    <w:tmpl w:val="4A3B6DB3"/>
    <w:lvl w:ilvl="0" w:tentative="0">
      <w:start w:val="1"/>
      <w:numFmt w:val="japaneseCounting"/>
      <w:pStyle w:val="29"/>
      <w:lvlText w:val="%1．"/>
      <w:lvlJc w:val="left"/>
      <w:pPr>
        <w:ind w:left="489" w:hanging="720"/>
      </w:pPr>
    </w:lvl>
    <w:lvl w:ilvl="1" w:tentative="0">
      <w:start w:val="1"/>
      <w:numFmt w:val="lowerLetter"/>
      <w:lvlText w:val="%2)"/>
      <w:lvlJc w:val="left"/>
      <w:pPr>
        <w:ind w:left="609" w:hanging="420"/>
      </w:pPr>
    </w:lvl>
    <w:lvl w:ilvl="2" w:tentative="0">
      <w:start w:val="1"/>
      <w:numFmt w:val="lowerRoman"/>
      <w:lvlText w:val="%3."/>
      <w:lvlJc w:val="right"/>
      <w:pPr>
        <w:ind w:left="1029" w:hanging="420"/>
      </w:pPr>
    </w:lvl>
    <w:lvl w:ilvl="3" w:tentative="0">
      <w:start w:val="1"/>
      <w:numFmt w:val="decimal"/>
      <w:pStyle w:val="5"/>
      <w:lvlText w:val="%4."/>
      <w:lvlJc w:val="left"/>
      <w:pPr>
        <w:ind w:left="1449" w:hanging="420"/>
      </w:pPr>
    </w:lvl>
    <w:lvl w:ilvl="4" w:tentative="0">
      <w:start w:val="1"/>
      <w:numFmt w:val="lowerLetter"/>
      <w:lvlText w:val="%5)"/>
      <w:lvlJc w:val="left"/>
      <w:pPr>
        <w:ind w:left="1869" w:hanging="420"/>
      </w:pPr>
    </w:lvl>
    <w:lvl w:ilvl="5" w:tentative="0">
      <w:start w:val="1"/>
      <w:numFmt w:val="lowerRoman"/>
      <w:lvlText w:val="%6."/>
      <w:lvlJc w:val="right"/>
      <w:pPr>
        <w:ind w:left="2289" w:hanging="420"/>
      </w:pPr>
    </w:lvl>
    <w:lvl w:ilvl="6" w:tentative="0">
      <w:start w:val="1"/>
      <w:numFmt w:val="decimal"/>
      <w:lvlText w:val="%7."/>
      <w:lvlJc w:val="left"/>
      <w:pPr>
        <w:ind w:left="2709" w:hanging="420"/>
      </w:pPr>
    </w:lvl>
    <w:lvl w:ilvl="7" w:tentative="0">
      <w:start w:val="1"/>
      <w:numFmt w:val="lowerLetter"/>
      <w:lvlText w:val="%8)"/>
      <w:lvlJc w:val="left"/>
      <w:pPr>
        <w:ind w:left="3129" w:hanging="420"/>
      </w:pPr>
    </w:lvl>
    <w:lvl w:ilvl="8" w:tentative="0">
      <w:start w:val="1"/>
      <w:numFmt w:val="lowerRoman"/>
      <w:lvlText w:val="%9."/>
      <w:lvlJc w:val="right"/>
      <w:pPr>
        <w:ind w:left="3549" w:hanging="420"/>
      </w:pPr>
    </w:lvl>
  </w:abstractNum>
  <w:abstractNum w:abstractNumId="8">
    <w:nsid w:val="4A4E5C50"/>
    <w:multiLevelType w:val="multilevel"/>
    <w:tmpl w:val="4A4E5C50"/>
    <w:lvl w:ilvl="0" w:tentative="0">
      <w:start w:val="1"/>
      <w:numFmt w:val="chineseCounting"/>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57EF241E"/>
    <w:multiLevelType w:val="multilevel"/>
    <w:tmpl w:val="57EF241E"/>
    <w:lvl w:ilvl="0" w:tentative="0">
      <w:start w:val="1"/>
      <w:numFmt w:val="decimal"/>
      <w:lvlText w:val="（%1）"/>
      <w:lvlJc w:val="left"/>
      <w:pPr>
        <w:ind w:left="987"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B0051CD"/>
    <w:multiLevelType w:val="multilevel"/>
    <w:tmpl w:val="5B0051CD"/>
    <w:lvl w:ilvl="0" w:tentative="0">
      <w:start w:val="1"/>
      <w:numFmt w:val="decimal"/>
      <w:lvlText w:val="（%1）"/>
      <w:lvlJc w:val="left"/>
      <w:pPr>
        <w:ind w:left="425" w:hanging="425"/>
      </w:pPr>
      <w:rPr>
        <w:rFonts w:hint="default"/>
      </w:rPr>
    </w:lvl>
    <w:lvl w:ilvl="1" w:tentative="0">
      <w:start w:val="1"/>
      <w:numFmt w:val="decimal"/>
      <w:suff w:val="space"/>
      <w:lvlText w:val="%1.%2."/>
      <w:lvlJc w:val="left"/>
      <w:pPr>
        <w:ind w:left="709"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
    <w:nsid w:val="5BCA7E5F"/>
    <w:multiLevelType w:val="singleLevel"/>
    <w:tmpl w:val="5BCA7E5F"/>
    <w:lvl w:ilvl="0" w:tentative="0">
      <w:start w:val="1"/>
      <w:numFmt w:val="chineseCounting"/>
      <w:suff w:val="space"/>
      <w:lvlText w:val="%1、"/>
      <w:lvlJc w:val="left"/>
    </w:lvl>
  </w:abstractNum>
  <w:abstractNum w:abstractNumId="12">
    <w:nsid w:val="63546429"/>
    <w:multiLevelType w:val="multilevel"/>
    <w:tmpl w:val="63546429"/>
    <w:lvl w:ilvl="0" w:tentative="0">
      <w:start w:val="1"/>
      <w:numFmt w:val="decimal"/>
      <w:pStyle w:val="32"/>
      <w:lvlText w:val="%1"/>
      <w:lvlJc w:val="left"/>
      <w:pPr>
        <w:tabs>
          <w:tab w:val="left" w:pos="432"/>
        </w:tabs>
        <w:ind w:left="432" w:hanging="432"/>
      </w:pPr>
    </w:lvl>
    <w:lvl w:ilvl="1" w:tentative="0">
      <w:start w:val="1"/>
      <w:numFmt w:val="decimal"/>
      <w:pStyle w:val="30"/>
      <w:lvlText w:val="%1.%2"/>
      <w:lvlJc w:val="left"/>
      <w:pPr>
        <w:tabs>
          <w:tab w:val="left" w:pos="576"/>
        </w:tabs>
        <w:ind w:left="576" w:hanging="576"/>
      </w:pPr>
    </w:lvl>
    <w:lvl w:ilvl="2" w:tentative="0">
      <w:start w:val="1"/>
      <w:numFmt w:val="decimal"/>
      <w:pStyle w:val="31"/>
      <w:lvlText w:val="%1.%2.%3"/>
      <w:lvlJc w:val="left"/>
      <w:pPr>
        <w:tabs>
          <w:tab w:val="left" w:pos="4265"/>
        </w:tabs>
        <w:ind w:left="4265" w:hanging="720"/>
      </w:pPr>
    </w:lvl>
    <w:lvl w:ilvl="3" w:tentative="0">
      <w:start w:val="1"/>
      <w:numFmt w:val="decimal"/>
      <w:lvlText w:val="%4."/>
      <w:lvlJc w:val="left"/>
      <w:pPr>
        <w:tabs>
          <w:tab w:val="left" w:pos="567"/>
        </w:tabs>
        <w:ind w:left="936" w:hanging="680"/>
      </w:pPr>
      <w:rPr>
        <w:rFonts w:ascii="宋体" w:hAnsi="宋体" w:eastAsia="宋体" w:cs="Times New Roman"/>
      </w:rPr>
    </w:lvl>
    <w:lvl w:ilvl="4" w:tentative="0">
      <w:start w:val="1"/>
      <w:numFmt w:val="decimal"/>
      <w:lvlText w:val="%5）"/>
      <w:lvlJc w:val="left"/>
      <w:pPr>
        <w:tabs>
          <w:tab w:val="left" w:pos="567"/>
        </w:tabs>
        <w:ind w:left="936" w:hanging="680"/>
      </w:pPr>
    </w:lvl>
    <w:lvl w:ilvl="5" w:tentative="0">
      <w:start w:val="1"/>
      <w:numFmt w:val="lowerLetter"/>
      <w:lvlText w:val="%6）"/>
      <w:lvlJc w:val="left"/>
      <w:pPr>
        <w:tabs>
          <w:tab w:val="left" w:pos="567"/>
        </w:tabs>
        <w:ind w:left="936" w:hanging="680"/>
      </w:pPr>
    </w:lvl>
    <w:lvl w:ilvl="6" w:tentative="0">
      <w:start w:val="1"/>
      <w:numFmt w:val="lowerRoman"/>
      <w:lvlText w:val="%7"/>
      <w:lvlJc w:val="left"/>
      <w:pPr>
        <w:tabs>
          <w:tab w:val="left" w:pos="567"/>
        </w:tabs>
        <w:ind w:left="936" w:hanging="680"/>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3">
    <w:nsid w:val="69ED2EFD"/>
    <w:multiLevelType w:val="singleLevel"/>
    <w:tmpl w:val="69ED2EFD"/>
    <w:lvl w:ilvl="0" w:tentative="0">
      <w:start w:val="1"/>
      <w:numFmt w:val="decimal"/>
      <w:pStyle w:val="6"/>
      <w:suff w:val="nothing"/>
      <w:lvlText w:val="%1、"/>
      <w:lvlJc w:val="left"/>
    </w:lvl>
  </w:abstractNum>
  <w:abstractNum w:abstractNumId="14">
    <w:nsid w:val="710815D8"/>
    <w:multiLevelType w:val="multilevel"/>
    <w:tmpl w:val="710815D8"/>
    <w:lvl w:ilvl="0" w:tentative="0">
      <w:start w:val="1"/>
      <w:numFmt w:val="decimal"/>
      <w:lvlText w:val="（%1）"/>
      <w:lvlJc w:val="left"/>
      <w:pPr>
        <w:ind w:left="987" w:hanging="4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3"/>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4"/>
  </w:num>
  <w:num w:numId="6">
    <w:abstractNumId w:val="9"/>
  </w:num>
  <w:num w:numId="7">
    <w:abstractNumId w:val="6"/>
  </w:num>
  <w:num w:numId="8">
    <w:abstractNumId w:val="10"/>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11"/>
    <w:lvlOverride w:ilvl="0">
      <w:startOverride w:val="1"/>
    </w:lvlOverride>
  </w:num>
  <w:num w:numId="13">
    <w:abstractNumId w:val="1"/>
  </w:num>
  <w:num w:numId="14">
    <w:abstractNumId w:val="0"/>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053F"/>
    <w:rsid w:val="0002053F"/>
    <w:rsid w:val="00030CEC"/>
    <w:rsid w:val="001C0139"/>
    <w:rsid w:val="0028322E"/>
    <w:rsid w:val="004829A7"/>
    <w:rsid w:val="004946DB"/>
    <w:rsid w:val="005D378E"/>
    <w:rsid w:val="006924BC"/>
    <w:rsid w:val="008461C5"/>
    <w:rsid w:val="008F323F"/>
    <w:rsid w:val="00A041EE"/>
    <w:rsid w:val="00A23D55"/>
    <w:rsid w:val="00C92841"/>
    <w:rsid w:val="00E00625"/>
    <w:rsid w:val="00E51A7F"/>
    <w:rsid w:val="00E70253"/>
    <w:rsid w:val="B37FF43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14:ligatures w14:val="none"/>
    </w:rPr>
  </w:style>
  <w:style w:type="paragraph" w:styleId="2">
    <w:name w:val="heading 1"/>
    <w:basedOn w:val="1"/>
    <w:next w:val="1"/>
    <w:link w:val="26"/>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3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8"/>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2"/>
    <w:qFormat/>
    <w:uiPriority w:val="9"/>
    <w:pPr>
      <w:keepNext/>
      <w:keepLines/>
      <w:numPr>
        <w:ilvl w:val="3"/>
        <w:numId w:val="1"/>
      </w:numPr>
      <w:tabs>
        <w:tab w:val="left" w:pos="1680"/>
        <w:tab w:val="left" w:pos="1890"/>
      </w:tabs>
      <w:spacing w:before="280" w:after="290" w:line="377" w:lineRule="auto"/>
      <w:ind w:left="170"/>
      <w:outlineLvl w:val="3"/>
    </w:pPr>
    <w:rPr>
      <w:rFonts w:ascii="Calibri Light" w:hAnsi="Calibri Light"/>
      <w:b/>
      <w:bCs/>
      <w:sz w:val="24"/>
      <w:szCs w:val="28"/>
    </w:rPr>
  </w:style>
  <w:style w:type="character" w:default="1" w:styleId="22">
    <w:name w:val="Default Paragraph Font"/>
    <w:unhideWhenUsed/>
    <w:uiPriority w:val="1"/>
  </w:style>
  <w:style w:type="table" w:default="1" w:styleId="19">
    <w:name w:val="Normal Table"/>
    <w:semiHidden/>
    <w:unhideWhenUsed/>
    <w:uiPriority w:val="99"/>
    <w:tblPr>
      <w:tblCellMar>
        <w:top w:w="0" w:type="dxa"/>
        <w:left w:w="108" w:type="dxa"/>
        <w:bottom w:w="0" w:type="dxa"/>
        <w:right w:w="108" w:type="dxa"/>
      </w:tblCellMar>
    </w:tblPr>
  </w:style>
  <w:style w:type="paragraph" w:styleId="6">
    <w:name w:val="List Number"/>
    <w:basedOn w:val="1"/>
    <w:qFormat/>
    <w:uiPriority w:val="0"/>
    <w:pPr>
      <w:numPr>
        <w:ilvl w:val="0"/>
        <w:numId w:val="2"/>
      </w:numPr>
      <w:tabs>
        <w:tab w:val="left" w:pos="360"/>
      </w:tabs>
      <w:spacing w:line="360" w:lineRule="auto"/>
      <w:ind w:firstLine="200" w:firstLineChars="200"/>
    </w:pPr>
    <w:rPr>
      <w:rFonts w:ascii="仿宋" w:hAnsi="仿宋" w:eastAsia="仿宋" w:cs="仿宋"/>
      <w:sz w:val="24"/>
      <w:szCs w:val="22"/>
    </w:rPr>
  </w:style>
  <w:style w:type="paragraph" w:styleId="7">
    <w:name w:val="Body Text"/>
    <w:basedOn w:val="1"/>
    <w:link w:val="43"/>
    <w:qFormat/>
    <w:uiPriority w:val="0"/>
    <w:pPr>
      <w:spacing w:after="120"/>
    </w:pPr>
    <w:rPr>
      <w:rFonts w:ascii="Calibri" w:hAnsi="Calibri"/>
      <w:szCs w:val="20"/>
    </w:rPr>
  </w:style>
  <w:style w:type="paragraph" w:styleId="8">
    <w:name w:val="Body Text Indent"/>
    <w:basedOn w:val="1"/>
    <w:link w:val="44"/>
    <w:qFormat/>
    <w:uiPriority w:val="0"/>
    <w:pPr>
      <w:spacing w:after="120"/>
      <w:ind w:left="420" w:leftChars="200"/>
    </w:pPr>
  </w:style>
  <w:style w:type="paragraph" w:styleId="9">
    <w:name w:val="toc 3"/>
    <w:basedOn w:val="1"/>
    <w:next w:val="1"/>
    <w:qFormat/>
    <w:uiPriority w:val="39"/>
    <w:pPr>
      <w:ind w:left="840" w:leftChars="400" w:firstLine="200" w:firstLineChars="200"/>
    </w:pPr>
    <w:rPr>
      <w:rFonts w:eastAsia="仿宋"/>
      <w:sz w:val="28"/>
    </w:rPr>
  </w:style>
  <w:style w:type="paragraph" w:styleId="10">
    <w:name w:val="Plain Text"/>
    <w:basedOn w:val="1"/>
    <w:link w:val="41"/>
    <w:qFormat/>
    <w:uiPriority w:val="0"/>
    <w:pPr>
      <w:ind w:firstLine="200" w:firstLineChars="200"/>
    </w:pPr>
    <w:rPr>
      <w:rFonts w:ascii="宋体" w:hAnsi="Courier New" w:eastAsia="仿宋_GB2312"/>
      <w:sz w:val="28"/>
      <w:szCs w:val="21"/>
    </w:rPr>
  </w:style>
  <w:style w:type="paragraph" w:styleId="11">
    <w:name w:val="Date"/>
    <w:basedOn w:val="1"/>
    <w:next w:val="1"/>
    <w:link w:val="33"/>
    <w:qFormat/>
    <w:uiPriority w:val="0"/>
    <w:pPr>
      <w:ind w:left="100" w:leftChars="2500" w:firstLine="200" w:firstLineChars="200"/>
    </w:pPr>
    <w:rPr>
      <w:rFonts w:ascii="宋体" w:hAnsi="宋体" w:eastAsia="仿宋"/>
      <w:sz w:val="28"/>
    </w:rPr>
  </w:style>
  <w:style w:type="paragraph" w:styleId="12">
    <w:name w:val="Balloon Text"/>
    <w:basedOn w:val="1"/>
    <w:link w:val="61"/>
    <w:semiHidden/>
    <w:unhideWhenUsed/>
    <w:qFormat/>
    <w:uiPriority w:val="99"/>
    <w:rPr>
      <w:sz w:val="18"/>
      <w:szCs w:val="18"/>
    </w:rPr>
  </w:style>
  <w:style w:type="paragraph" w:styleId="13">
    <w:name w:val="footer"/>
    <w:basedOn w:val="1"/>
    <w:link w:val="25"/>
    <w:unhideWhenUsed/>
    <w:qFormat/>
    <w:uiPriority w:val="99"/>
    <w:pPr>
      <w:tabs>
        <w:tab w:val="center" w:pos="4153"/>
        <w:tab w:val="right" w:pos="8306"/>
      </w:tabs>
      <w:snapToGrid w:val="0"/>
      <w:jc w:val="left"/>
    </w:pPr>
    <w:rPr>
      <w:sz w:val="18"/>
      <w:szCs w:val="18"/>
    </w:rPr>
  </w:style>
  <w:style w:type="paragraph" w:styleId="14">
    <w:name w:val="header"/>
    <w:basedOn w:val="1"/>
    <w:link w:val="24"/>
    <w:unhideWhenUsed/>
    <w:qFormat/>
    <w:uiPriority w:val="99"/>
    <w:pPr>
      <w:tabs>
        <w:tab w:val="center" w:pos="4153"/>
        <w:tab w:val="right" w:pos="8306"/>
      </w:tabs>
      <w:snapToGrid w:val="0"/>
      <w:jc w:val="center"/>
    </w:pPr>
    <w:rPr>
      <w:sz w:val="18"/>
      <w:szCs w:val="18"/>
    </w:rPr>
  </w:style>
  <w:style w:type="paragraph" w:styleId="15">
    <w:name w:val="toc 1"/>
    <w:basedOn w:val="1"/>
    <w:next w:val="1"/>
    <w:qFormat/>
    <w:uiPriority w:val="39"/>
    <w:pPr>
      <w:ind w:firstLine="200" w:firstLineChars="200"/>
    </w:pPr>
    <w:rPr>
      <w:rFonts w:eastAsia="仿宋"/>
      <w:sz w:val="28"/>
    </w:rPr>
  </w:style>
  <w:style w:type="paragraph" w:styleId="16">
    <w:name w:val="toc 4"/>
    <w:basedOn w:val="1"/>
    <w:next w:val="1"/>
    <w:qFormat/>
    <w:uiPriority w:val="39"/>
    <w:pPr>
      <w:widowControl/>
      <w:suppressAutoHyphens/>
      <w:spacing w:line="360" w:lineRule="exact"/>
      <w:ind w:left="1260" w:leftChars="600"/>
      <w:jc w:val="left"/>
    </w:pPr>
    <w:rPr>
      <w:rFonts w:ascii="Calibri" w:hAnsi="Calibri"/>
      <w:kern w:val="21"/>
      <w:sz w:val="24"/>
      <w:szCs w:val="18"/>
      <w:lang w:eastAsia="ar-SA"/>
    </w:rPr>
  </w:style>
  <w:style w:type="paragraph" w:styleId="17">
    <w:name w:val="toc 2"/>
    <w:basedOn w:val="1"/>
    <w:next w:val="1"/>
    <w:qFormat/>
    <w:uiPriority w:val="39"/>
    <w:pPr>
      <w:ind w:left="420" w:leftChars="200" w:firstLine="200" w:firstLineChars="200"/>
    </w:pPr>
    <w:rPr>
      <w:rFonts w:eastAsia="仿宋"/>
      <w:sz w:val="28"/>
    </w:rPr>
  </w:style>
  <w:style w:type="paragraph" w:styleId="18">
    <w:name w:val="Normal (Web)"/>
    <w:basedOn w:val="1"/>
    <w:uiPriority w:val="0"/>
    <w:pPr>
      <w:spacing w:before="100" w:beforeAutospacing="1" w:after="100" w:afterAutospacing="1"/>
      <w:jc w:val="left"/>
    </w:pPr>
    <w:rPr>
      <w:rFonts w:ascii="Calibri" w:hAnsi="Calibri"/>
      <w:kern w:val="0"/>
      <w:sz w:val="24"/>
      <w:szCs w:val="22"/>
    </w:rPr>
  </w:style>
  <w:style w:type="table" w:styleId="20">
    <w:name w:val="Table Grid"/>
    <w:basedOn w:val="19"/>
    <w:qFormat/>
    <w:uiPriority w:val="39"/>
    <w:pPr>
      <w:widowControl w:val="0"/>
      <w:jc w:val="both"/>
    </w:pPr>
    <w:rPr>
      <w:rFonts w:ascii="Times New Roman" w:hAnsi="Times New Roman" w:eastAsia="宋体" w:cs="Times New Roman"/>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1">
    <w:name w:val="Light List Accent 3"/>
    <w:basedOn w:val="19"/>
    <w:qFormat/>
    <w:uiPriority w:val="61"/>
    <w:rPr>
      <w:rFonts w:ascii="Times New Roman" w:hAnsi="Times New Roman" w:eastAsia="宋体" w:cs="Times New Roman"/>
      <w:kern w:val="0"/>
      <w:sz w:val="22"/>
      <w:szCs w:val="20"/>
      <w14:ligatures w14:val="none"/>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color="9BBB59" w:sz="6" w:space="0"/>
          <w:left w:val="single" w:color="9BBB59" w:sz="8" w:space="0"/>
          <w:bottom w:val="single" w:color="9BBB59" w:sz="8" w:space="0"/>
          <w:right w:val="single" w:color="9BBB59"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tblStylePr w:type="band1Horz">
      <w:tblPr/>
      <w:tcPr>
        <w:tcBorders>
          <w:top w:val="single" w:color="9BBB59" w:sz="8" w:space="0"/>
          <w:left w:val="single" w:color="9BBB59" w:sz="8" w:space="0"/>
          <w:bottom w:val="single" w:color="9BBB59" w:sz="8" w:space="0"/>
          <w:right w:val="single" w:color="9BBB59" w:sz="8" w:space="0"/>
          <w:insideH w:val="nil"/>
          <w:insideV w:val="nil"/>
          <w:tl2br w:val="nil"/>
          <w:tr2bl w:val="nil"/>
        </w:tcBorders>
      </w:tcPr>
    </w:tblStylePr>
  </w:style>
  <w:style w:type="character" w:styleId="23">
    <w:name w:val="Hyperlink"/>
    <w:qFormat/>
    <w:uiPriority w:val="99"/>
    <w:rPr>
      <w:color w:val="0000FF"/>
      <w:u w:val="single"/>
    </w:rPr>
  </w:style>
  <w:style w:type="character" w:customStyle="1" w:styleId="24">
    <w:name w:val="页眉 字符"/>
    <w:basedOn w:val="22"/>
    <w:link w:val="14"/>
    <w:uiPriority w:val="99"/>
    <w:rPr>
      <w:sz w:val="18"/>
      <w:szCs w:val="18"/>
    </w:rPr>
  </w:style>
  <w:style w:type="character" w:customStyle="1" w:styleId="25">
    <w:name w:val="页脚 字符"/>
    <w:basedOn w:val="22"/>
    <w:link w:val="13"/>
    <w:uiPriority w:val="99"/>
    <w:rPr>
      <w:sz w:val="18"/>
      <w:szCs w:val="18"/>
    </w:rPr>
  </w:style>
  <w:style w:type="character" w:customStyle="1" w:styleId="26">
    <w:name w:val="标题 1 字符"/>
    <w:basedOn w:val="22"/>
    <w:link w:val="2"/>
    <w:qFormat/>
    <w:uiPriority w:val="9"/>
    <w:rPr>
      <w:rFonts w:ascii="Times New Roman" w:hAnsi="Times New Roman" w:eastAsia="宋体" w:cs="Times New Roman"/>
      <w:b/>
      <w:bCs/>
      <w:kern w:val="44"/>
      <w:sz w:val="44"/>
      <w:szCs w:val="44"/>
      <w14:ligatures w14:val="none"/>
    </w:rPr>
  </w:style>
  <w:style w:type="paragraph" w:styleId="27">
    <w:name w:val="List Paragraph"/>
    <w:basedOn w:val="1"/>
    <w:qFormat/>
    <w:uiPriority w:val="0"/>
    <w:pPr>
      <w:ind w:firstLine="420" w:firstLineChars="200"/>
    </w:pPr>
  </w:style>
  <w:style w:type="character" w:customStyle="1" w:styleId="28">
    <w:name w:val="目录1 Char"/>
    <w:basedOn w:val="22"/>
    <w:link w:val="29"/>
    <w:qFormat/>
    <w:locked/>
    <w:uiPriority w:val="0"/>
    <w:rPr>
      <w:rFonts w:eastAsia="宋体" w:asciiTheme="minorEastAsia" w:hAnsiTheme="minorEastAsia"/>
      <w:b/>
      <w:bCs/>
      <w:kern w:val="44"/>
      <w:sz w:val="32"/>
      <w:szCs w:val="32"/>
    </w:rPr>
  </w:style>
  <w:style w:type="paragraph" w:customStyle="1" w:styleId="29">
    <w:name w:val="目录1"/>
    <w:basedOn w:val="2"/>
    <w:link w:val="28"/>
    <w:qFormat/>
    <w:uiPriority w:val="0"/>
    <w:pPr>
      <w:widowControl/>
      <w:numPr>
        <w:ilvl w:val="0"/>
        <w:numId w:val="1"/>
      </w:numPr>
      <w:spacing w:line="240" w:lineRule="auto"/>
      <w:ind w:left="978" w:right="100" w:rightChars="100"/>
      <w:jc w:val="left"/>
    </w:pPr>
    <w:rPr>
      <w:rFonts w:asciiTheme="minorEastAsia" w:hAnsiTheme="minorEastAsia" w:cstheme="minorBidi"/>
      <w:sz w:val="32"/>
      <w:szCs w:val="32"/>
      <w14:ligatures w14:val="standardContextual"/>
    </w:rPr>
  </w:style>
  <w:style w:type="paragraph" w:customStyle="1" w:styleId="30">
    <w:name w:val="标题 21"/>
    <w:next w:val="1"/>
    <w:qFormat/>
    <w:uiPriority w:val="0"/>
    <w:pPr>
      <w:keepNext/>
      <w:numPr>
        <w:ilvl w:val="1"/>
        <w:numId w:val="3"/>
      </w:numPr>
      <w:tabs>
        <w:tab w:val="left" w:pos="432"/>
      </w:tabs>
      <w:spacing w:before="240" w:after="240" w:line="360" w:lineRule="auto"/>
      <w:jc w:val="both"/>
      <w:outlineLvl w:val="1"/>
    </w:pPr>
    <w:rPr>
      <w:rFonts w:ascii="Arial" w:hAnsi="Arial" w:eastAsia="黑体" w:cs="Times New Roman"/>
      <w:b/>
      <w:kern w:val="0"/>
      <w:sz w:val="28"/>
      <w:szCs w:val="24"/>
      <w:lang w:val="en-US" w:eastAsia="zh-CN" w:bidi="ar-SA"/>
      <w14:ligatures w14:val="none"/>
    </w:rPr>
  </w:style>
  <w:style w:type="paragraph" w:customStyle="1" w:styleId="31">
    <w:name w:val="标题 32"/>
    <w:basedOn w:val="1"/>
    <w:next w:val="1"/>
    <w:qFormat/>
    <w:uiPriority w:val="0"/>
    <w:pPr>
      <w:keepNext/>
      <w:keepLines/>
      <w:numPr>
        <w:ilvl w:val="2"/>
        <w:numId w:val="3"/>
      </w:numPr>
      <w:tabs>
        <w:tab w:val="left" w:pos="432"/>
        <w:tab w:val="left" w:pos="709"/>
        <w:tab w:val="left" w:pos="993"/>
      </w:tabs>
      <w:autoSpaceDE w:val="0"/>
      <w:autoSpaceDN w:val="0"/>
      <w:snapToGrid w:val="0"/>
      <w:spacing w:before="260" w:after="260" w:line="360" w:lineRule="auto"/>
      <w:jc w:val="left"/>
      <w:outlineLvl w:val="2"/>
    </w:pPr>
    <w:rPr>
      <w:rFonts w:eastAsia="黑体"/>
      <w:b/>
      <w:bCs/>
      <w:sz w:val="24"/>
    </w:rPr>
  </w:style>
  <w:style w:type="paragraph" w:customStyle="1" w:styleId="32">
    <w:name w:val="标题 11"/>
    <w:next w:val="30"/>
    <w:qFormat/>
    <w:uiPriority w:val="0"/>
    <w:pPr>
      <w:keepNext/>
      <w:numPr>
        <w:ilvl w:val="0"/>
        <w:numId w:val="3"/>
      </w:numPr>
      <w:spacing w:before="240" w:after="240" w:line="360" w:lineRule="auto"/>
      <w:jc w:val="both"/>
      <w:outlineLvl w:val="0"/>
    </w:pPr>
    <w:rPr>
      <w:rFonts w:ascii="Arial" w:hAnsi="Arial" w:eastAsia="黑体" w:cs="Times New Roman"/>
      <w:b/>
      <w:kern w:val="0"/>
      <w:sz w:val="32"/>
      <w:szCs w:val="24"/>
      <w:lang w:val="en-US" w:eastAsia="zh-CN" w:bidi="ar-SA"/>
      <w14:ligatures w14:val="none"/>
    </w:rPr>
  </w:style>
  <w:style w:type="character" w:customStyle="1" w:styleId="33">
    <w:name w:val="日期 字符"/>
    <w:basedOn w:val="22"/>
    <w:link w:val="11"/>
    <w:qFormat/>
    <w:uiPriority w:val="0"/>
    <w:rPr>
      <w:rFonts w:ascii="宋体" w:hAnsi="宋体" w:eastAsia="仿宋" w:cs="Times New Roman"/>
      <w:sz w:val="28"/>
      <w:szCs w:val="24"/>
      <w14:ligatures w14:val="none"/>
    </w:rPr>
  </w:style>
  <w:style w:type="character" w:customStyle="1" w:styleId="34">
    <w:name w:val="标题 2 字符"/>
    <w:basedOn w:val="22"/>
    <w:link w:val="3"/>
    <w:uiPriority w:val="9"/>
    <w:rPr>
      <w:rFonts w:asciiTheme="majorHAnsi" w:hAnsiTheme="majorHAnsi" w:eastAsiaTheme="majorEastAsia" w:cstheme="majorBidi"/>
      <w:b/>
      <w:bCs/>
      <w:sz w:val="32"/>
      <w:szCs w:val="32"/>
      <w14:ligatures w14:val="none"/>
    </w:rPr>
  </w:style>
  <w:style w:type="paragraph" w:customStyle="1" w:styleId="35">
    <w:name w:val="TOC 标题1"/>
    <w:basedOn w:val="2"/>
    <w:next w:val="1"/>
    <w:qFormat/>
    <w:uiPriority w:val="39"/>
    <w:pPr>
      <w:widowControl/>
      <w:spacing w:before="240" w:after="0" w:line="259" w:lineRule="auto"/>
      <w:jc w:val="left"/>
      <w:outlineLvl w:val="9"/>
    </w:pPr>
    <w:rPr>
      <w:rFonts w:ascii="Calibri Light" w:hAnsi="Calibri Light"/>
      <w:bCs w:val="0"/>
      <w:color w:val="2E74B5"/>
      <w:kern w:val="0"/>
      <w:sz w:val="32"/>
      <w:szCs w:val="32"/>
    </w:rPr>
  </w:style>
  <w:style w:type="paragraph" w:customStyle="1" w:styleId="36">
    <w:name w:val="正文 首行缩进:  2 字符"/>
    <w:basedOn w:val="1"/>
    <w:qFormat/>
    <w:uiPriority w:val="0"/>
    <w:pPr>
      <w:spacing w:line="360" w:lineRule="auto"/>
      <w:jc w:val="left"/>
    </w:pPr>
    <w:rPr>
      <w:rFonts w:ascii="仿宋" w:hAnsi="仿宋" w:eastAsia="仿宋" w:cs="宋体"/>
      <w:b/>
      <w:bCs/>
      <w:sz w:val="28"/>
      <w:szCs w:val="28"/>
    </w:rPr>
  </w:style>
  <w:style w:type="character" w:customStyle="1" w:styleId="37">
    <w:name w:val="未处理的提及1"/>
    <w:basedOn w:val="22"/>
    <w:semiHidden/>
    <w:unhideWhenUsed/>
    <w:uiPriority w:val="99"/>
    <w:rPr>
      <w:color w:val="605E5C"/>
      <w:shd w:val="clear" w:color="auto" w:fill="E1DFDD"/>
    </w:rPr>
  </w:style>
  <w:style w:type="character" w:customStyle="1" w:styleId="38">
    <w:name w:val="标题 3 字符"/>
    <w:basedOn w:val="22"/>
    <w:link w:val="4"/>
    <w:semiHidden/>
    <w:uiPriority w:val="9"/>
    <w:rPr>
      <w:rFonts w:ascii="Times New Roman" w:hAnsi="Times New Roman" w:eastAsia="宋体" w:cs="Times New Roman"/>
      <w:b/>
      <w:bCs/>
      <w:sz w:val="32"/>
      <w:szCs w:val="32"/>
      <w14:ligatures w14:val="none"/>
    </w:rPr>
  </w:style>
  <w:style w:type="paragraph" w:customStyle="1" w:styleId="39">
    <w:name w:val="列出段落1"/>
    <w:basedOn w:val="1"/>
    <w:link w:val="40"/>
    <w:qFormat/>
    <w:uiPriority w:val="34"/>
    <w:pPr>
      <w:ind w:firstLine="420" w:firstLineChars="200"/>
    </w:pPr>
    <w:rPr>
      <w:rFonts w:eastAsia="仿宋"/>
      <w:sz w:val="28"/>
    </w:rPr>
  </w:style>
  <w:style w:type="character" w:customStyle="1" w:styleId="40">
    <w:name w:val="列表段落 字符"/>
    <w:link w:val="39"/>
    <w:qFormat/>
    <w:uiPriority w:val="34"/>
    <w:rPr>
      <w:rFonts w:ascii="Times New Roman" w:hAnsi="Times New Roman" w:eastAsia="仿宋" w:cs="Times New Roman"/>
      <w:sz w:val="28"/>
      <w:szCs w:val="24"/>
      <w14:ligatures w14:val="none"/>
    </w:rPr>
  </w:style>
  <w:style w:type="character" w:customStyle="1" w:styleId="41">
    <w:name w:val="纯文本 字符"/>
    <w:basedOn w:val="22"/>
    <w:link w:val="10"/>
    <w:uiPriority w:val="0"/>
    <w:rPr>
      <w:rFonts w:ascii="宋体" w:hAnsi="Courier New" w:eastAsia="仿宋_GB2312" w:cs="Times New Roman"/>
      <w:sz w:val="28"/>
      <w:szCs w:val="21"/>
      <w14:ligatures w14:val="none"/>
    </w:rPr>
  </w:style>
  <w:style w:type="character" w:customStyle="1" w:styleId="42">
    <w:name w:val="标题 4 字符"/>
    <w:basedOn w:val="22"/>
    <w:link w:val="5"/>
    <w:uiPriority w:val="9"/>
    <w:rPr>
      <w:rFonts w:ascii="Calibri Light" w:hAnsi="Calibri Light" w:eastAsia="宋体" w:cs="Times New Roman"/>
      <w:b/>
      <w:bCs/>
      <w:sz w:val="24"/>
      <w:szCs w:val="28"/>
      <w14:ligatures w14:val="none"/>
    </w:rPr>
  </w:style>
  <w:style w:type="character" w:customStyle="1" w:styleId="43">
    <w:name w:val="正文文本 字符"/>
    <w:basedOn w:val="22"/>
    <w:link w:val="7"/>
    <w:uiPriority w:val="0"/>
    <w:rPr>
      <w:rFonts w:ascii="Calibri" w:hAnsi="Calibri" w:eastAsia="宋体" w:cs="Times New Roman"/>
      <w:szCs w:val="20"/>
      <w14:ligatures w14:val="none"/>
    </w:rPr>
  </w:style>
  <w:style w:type="character" w:customStyle="1" w:styleId="44">
    <w:name w:val="正文文本缩进 字符"/>
    <w:basedOn w:val="22"/>
    <w:link w:val="8"/>
    <w:uiPriority w:val="0"/>
    <w:rPr>
      <w:rFonts w:ascii="Times New Roman" w:hAnsi="Times New Roman" w:eastAsia="宋体" w:cs="Times New Roman"/>
      <w:szCs w:val="24"/>
      <w14:ligatures w14:val="none"/>
    </w:rPr>
  </w:style>
  <w:style w:type="paragraph" w:customStyle="1" w:styleId="45">
    <w:name w:val="表格样式"/>
    <w:qFormat/>
    <w:uiPriority w:val="0"/>
    <w:rPr>
      <w:rFonts w:ascii="Calibri" w:hAnsi="Calibri" w:eastAsia="宋体" w:cs="Times New Roman"/>
      <w:kern w:val="2"/>
      <w:sz w:val="21"/>
      <w:szCs w:val="22"/>
      <w:lang w:val="en-US" w:eastAsia="zh-CN" w:bidi="ar-SA"/>
      <w14:ligatures w14:val="none"/>
    </w:rPr>
  </w:style>
  <w:style w:type="paragraph" w:customStyle="1" w:styleId="46">
    <w:name w:val="列出段落11"/>
    <w:basedOn w:val="1"/>
    <w:qFormat/>
    <w:uiPriority w:val="99"/>
    <w:pPr>
      <w:ind w:firstLine="420" w:firstLineChars="200"/>
    </w:pPr>
    <w:rPr>
      <w:rFonts w:ascii="Calibri" w:hAnsi="Calibri"/>
      <w:szCs w:val="22"/>
    </w:rPr>
  </w:style>
  <w:style w:type="paragraph" w:customStyle="1" w:styleId="47">
    <w:name w:val="Bullets L2"/>
    <w:basedOn w:val="1"/>
    <w:qFormat/>
    <w:uiPriority w:val="0"/>
    <w:pPr>
      <w:widowControl/>
      <w:overflowPunct w:val="0"/>
      <w:autoSpaceDE w:val="0"/>
      <w:autoSpaceDN w:val="0"/>
      <w:adjustRightInd w:val="0"/>
      <w:spacing w:line="360" w:lineRule="auto"/>
      <w:textAlignment w:val="baseline"/>
    </w:pPr>
    <w:rPr>
      <w:rFonts w:ascii="Arial Narrow" w:hAnsi="Arial Narrow" w:eastAsia="楷体_GB2312"/>
      <w:spacing w:val="10"/>
      <w:kern w:val="0"/>
      <w:sz w:val="24"/>
      <w:szCs w:val="20"/>
      <w:lang w:val="en-GB"/>
    </w:rPr>
  </w:style>
  <w:style w:type="paragraph" w:customStyle="1" w:styleId="48">
    <w:name w:val="正文格式"/>
    <w:basedOn w:val="1"/>
    <w:qFormat/>
    <w:uiPriority w:val="99"/>
    <w:pPr>
      <w:spacing w:beforeLines="50" w:afterLines="50" w:line="360" w:lineRule="auto"/>
    </w:pPr>
    <w:rPr>
      <w:rFonts w:ascii="Calibri" w:hAnsi="Calibri"/>
      <w:szCs w:val="22"/>
    </w:rPr>
  </w:style>
  <w:style w:type="paragraph" w:customStyle="1" w:styleId="49">
    <w:name w:val="正文1"/>
    <w:qFormat/>
    <w:uiPriority w:val="0"/>
    <w:pPr>
      <w:widowControl w:val="0"/>
      <w:spacing w:line="360" w:lineRule="auto"/>
      <w:ind w:firstLine="200" w:firstLineChars="200"/>
      <w:jc w:val="both"/>
    </w:pPr>
    <w:rPr>
      <w:rFonts w:ascii="Times New Roman" w:hAnsi="Times New Roman" w:eastAsia="宋体" w:cs="Times New Roman"/>
      <w:kern w:val="0"/>
      <w:sz w:val="24"/>
      <w:szCs w:val="24"/>
      <w:lang w:val="en-US" w:eastAsia="zh-CN" w:bidi="ar-SA"/>
      <w14:ligatures w14:val="none"/>
    </w:rPr>
  </w:style>
  <w:style w:type="character" w:customStyle="1" w:styleId="50">
    <w:name w:val="font21"/>
    <w:basedOn w:val="22"/>
    <w:uiPriority w:val="0"/>
    <w:rPr>
      <w:rFonts w:hint="eastAsia" w:ascii="仿宋" w:hAnsi="仿宋" w:eastAsia="仿宋" w:cs="仿宋"/>
      <w:b/>
      <w:bCs/>
      <w:color w:val="000000"/>
      <w:sz w:val="20"/>
      <w:szCs w:val="20"/>
      <w:u w:val="none"/>
    </w:rPr>
  </w:style>
  <w:style w:type="character" w:customStyle="1" w:styleId="51">
    <w:name w:val="font31"/>
    <w:basedOn w:val="22"/>
    <w:uiPriority w:val="0"/>
    <w:rPr>
      <w:rFonts w:hint="eastAsia" w:ascii="仿宋" w:hAnsi="仿宋" w:eastAsia="仿宋" w:cs="仿宋"/>
      <w:color w:val="000000"/>
      <w:sz w:val="20"/>
      <w:szCs w:val="20"/>
      <w:u w:val="none"/>
    </w:rPr>
  </w:style>
  <w:style w:type="character" w:customStyle="1" w:styleId="52">
    <w:name w:val="font01"/>
    <w:basedOn w:val="22"/>
    <w:uiPriority w:val="0"/>
    <w:rPr>
      <w:rFonts w:hint="eastAsia" w:ascii="宋体" w:hAnsi="宋体" w:eastAsia="宋体" w:cs="宋体"/>
      <w:color w:val="000000"/>
      <w:sz w:val="22"/>
      <w:szCs w:val="22"/>
      <w:u w:val="none"/>
    </w:rPr>
  </w:style>
  <w:style w:type="paragraph" w:customStyle="1" w:styleId="53">
    <w:name w:val="WPSOffice手动目录 1"/>
    <w:uiPriority w:val="0"/>
    <w:rPr>
      <w:rFonts w:ascii="Times New Roman" w:hAnsi="Times New Roman" w:eastAsia="宋体" w:cs="Times New Roman"/>
      <w:kern w:val="0"/>
      <w:sz w:val="20"/>
      <w:szCs w:val="20"/>
      <w:lang w:val="en-US" w:eastAsia="zh-CN" w:bidi="ar-SA"/>
      <w14:ligatures w14:val="none"/>
    </w:rPr>
  </w:style>
  <w:style w:type="paragraph" w:customStyle="1" w:styleId="54">
    <w:name w:val="WPSOffice手动目录 2"/>
    <w:uiPriority w:val="0"/>
    <w:pPr>
      <w:ind w:left="200" w:leftChars="200"/>
    </w:pPr>
    <w:rPr>
      <w:rFonts w:ascii="Times New Roman" w:hAnsi="Times New Roman" w:eastAsia="宋体" w:cs="Times New Roman"/>
      <w:kern w:val="0"/>
      <w:sz w:val="20"/>
      <w:szCs w:val="20"/>
      <w:lang w:val="en-US" w:eastAsia="zh-CN" w:bidi="ar-SA"/>
      <w14:ligatures w14:val="none"/>
    </w:rPr>
  </w:style>
  <w:style w:type="character" w:customStyle="1" w:styleId="55">
    <w:name w:val="font61"/>
    <w:basedOn w:val="22"/>
    <w:uiPriority w:val="0"/>
    <w:rPr>
      <w:rFonts w:hint="eastAsia" w:ascii="仿宋" w:hAnsi="仿宋" w:eastAsia="仿宋" w:cs="仿宋"/>
      <w:color w:val="000000"/>
      <w:sz w:val="20"/>
      <w:szCs w:val="20"/>
      <w:u w:val="none"/>
    </w:rPr>
  </w:style>
  <w:style w:type="character" w:customStyle="1" w:styleId="56">
    <w:name w:val="font101"/>
    <w:basedOn w:val="22"/>
    <w:uiPriority w:val="0"/>
    <w:rPr>
      <w:rFonts w:hint="eastAsia" w:ascii="仿宋" w:hAnsi="仿宋" w:eastAsia="仿宋" w:cs="仿宋"/>
      <w:color w:val="000000"/>
      <w:sz w:val="20"/>
      <w:szCs w:val="20"/>
      <w:u w:val="none"/>
      <w:vertAlign w:val="superscript"/>
    </w:rPr>
  </w:style>
  <w:style w:type="character" w:customStyle="1" w:styleId="57">
    <w:name w:val="font71"/>
    <w:basedOn w:val="22"/>
    <w:uiPriority w:val="0"/>
    <w:rPr>
      <w:rFonts w:hint="eastAsia" w:ascii="仿宋" w:hAnsi="仿宋" w:eastAsia="仿宋" w:cs="仿宋"/>
      <w:color w:val="333333"/>
      <w:sz w:val="20"/>
      <w:szCs w:val="20"/>
      <w:u w:val="none"/>
    </w:rPr>
  </w:style>
  <w:style w:type="character" w:customStyle="1" w:styleId="58">
    <w:name w:val="font112"/>
    <w:basedOn w:val="22"/>
    <w:uiPriority w:val="0"/>
    <w:rPr>
      <w:rFonts w:ascii="Helvetica" w:hAnsi="Helvetica" w:eastAsia="Helvetica" w:cs="Helvetica"/>
      <w:color w:val="333333"/>
      <w:sz w:val="20"/>
      <w:szCs w:val="20"/>
      <w:u w:val="none"/>
    </w:rPr>
  </w:style>
  <w:style w:type="character" w:customStyle="1" w:styleId="59">
    <w:name w:val="font121"/>
    <w:basedOn w:val="22"/>
    <w:uiPriority w:val="0"/>
    <w:rPr>
      <w:rFonts w:hint="default" w:ascii="Times New Roman" w:hAnsi="Times New Roman" w:cs="Times New Roman"/>
      <w:color w:val="000000"/>
      <w:sz w:val="20"/>
      <w:szCs w:val="20"/>
      <w:u w:val="none"/>
    </w:rPr>
  </w:style>
  <w:style w:type="character" w:customStyle="1" w:styleId="60">
    <w:name w:val="font91"/>
    <w:basedOn w:val="22"/>
    <w:uiPriority w:val="0"/>
    <w:rPr>
      <w:rFonts w:hint="eastAsia" w:ascii="仿宋" w:hAnsi="仿宋" w:eastAsia="仿宋" w:cs="仿宋"/>
      <w:color w:val="000000"/>
      <w:sz w:val="20"/>
      <w:szCs w:val="20"/>
      <w:u w:val="none"/>
      <w:vertAlign w:val="superscript"/>
    </w:rPr>
  </w:style>
  <w:style w:type="character" w:customStyle="1" w:styleId="61">
    <w:name w:val="批注框文本 字符"/>
    <w:basedOn w:val="22"/>
    <w:link w:val="12"/>
    <w:semiHidden/>
    <w:uiPriority w:val="99"/>
    <w:rPr>
      <w:rFonts w:ascii="Times New Roman" w:hAnsi="Times New Roman" w:eastAsia="宋体" w:cs="Times New Roman"/>
      <w:sz w:val="18"/>
      <w:szCs w:val="18"/>
      <w14:ligatures w14:val="none"/>
    </w:rPr>
  </w:style>
  <w:style w:type="paragraph" w:customStyle="1" w:styleId="62">
    <w:name w:val="Revision"/>
    <w:hidden/>
    <w:semiHidden/>
    <w:uiPriority w:val="99"/>
    <w:rPr>
      <w:rFonts w:ascii="Times New Roman" w:hAnsi="Times New Roman" w:eastAsia="宋体" w:cs="Times New Roman"/>
      <w:kern w:val="2"/>
      <w:sz w:val="21"/>
      <w:szCs w:val="24"/>
      <w:lang w:val="en-US" w:eastAsia="zh-CN" w:bidi="ar-SA"/>
      <w14:ligatures w14:val="none"/>
    </w:rPr>
  </w:style>
  <w:style w:type="table" w:customStyle="1" w:styleId="63">
    <w:name w:val="Table Normal"/>
    <w:basedOn w:val="19"/>
    <w:uiPriority w:val="0"/>
    <w:rPr>
      <w:rFonts w:ascii="Times New Roman" w:hAnsi="Times New Roman" w:eastAsia="Times New Roman" w:cs="Times New Roman"/>
      <w:kern w:val="0"/>
      <w:sz w:val="20"/>
      <w:szCs w:val="20"/>
      <w14:ligatures w14:val="none"/>
    </w:rPr>
    <w:tblPr>
      <w:tblCellMar>
        <w:left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tyleName="APA" SelectedStyle="\APASixthEditionOfficeOnline.xsl" Version="6"/>
</file>

<file path=customXml/itemProps1.xml><?xml version="1.0" encoding="utf-8"?>
<ds:datastoreItem xmlns:ds="http://schemas.openxmlformats.org/officeDocument/2006/customXml" ds:itemID="{79D6D5F7-F782-4C83-8394-B0FD03366281}">
  <ds:schemaRefs/>
</ds:datastoreItem>
</file>

<file path=docProps/app.xml><?xml version="1.0" encoding="utf-8"?>
<Properties xmlns="http://schemas.openxmlformats.org/officeDocument/2006/extended-properties" xmlns:vt="http://schemas.openxmlformats.org/officeDocument/2006/docPropsVTypes">
  <Pages>46</Pages>
  <Words>14141</Words>
  <Characters>14849</Characters>
  <Lines>1349</Lines>
  <Paragraphs>1260</Paragraphs>
  <TotalTime>347</TotalTime>
  <ScaleCrop>false</ScaleCrop>
  <LinksUpToDate>false</LinksUpToDate>
  <CharactersWithSpaces>27730</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2025-07-03T10:31:00Z</dcterms:created>
  <dc:creator>于琪</dc:creator>
  <cp:lastModifiedBy>叶思盈</cp:lastModifiedBy>
  <cp:lastPrinted>2025-04-15T09:21:00Z</cp:lastPrinted>
  <dcterms:modified xsi:type="dcterms:W3CDTF">2025-07-08T16:40:37Z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