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6E4508">
      <w:pPr>
        <w:ind w:left="638" w:hanging="638" w:hangingChars="177"/>
        <w:jc w:val="center"/>
        <w:rPr>
          <w:rFonts w:ascii="华文中宋" w:hAnsi="华文中宋" w:eastAsia="华文中宋" w:cs="华文中宋"/>
          <w:b/>
          <w:sz w:val="36"/>
        </w:rPr>
      </w:pPr>
      <w:r>
        <w:rPr>
          <w:rFonts w:hint="eastAsia" w:ascii="华文中宋" w:hAnsi="华文中宋" w:eastAsia="华文中宋" w:cs="华文中宋"/>
          <w:b/>
          <w:sz w:val="36"/>
        </w:rPr>
        <w:t>招标处理</w:t>
      </w:r>
      <w:r>
        <w:rPr>
          <w:rFonts w:hint="eastAsia" w:ascii="华文中宋" w:hAnsi="华文中宋" w:eastAsia="华文中宋" w:cs="华文中宋"/>
          <w:b/>
          <w:sz w:val="36"/>
          <w:lang w:val="en-US" w:eastAsia="zh-CN"/>
        </w:rPr>
        <w:t>生产废铁</w:t>
      </w:r>
      <w:r>
        <w:rPr>
          <w:rFonts w:hint="eastAsia" w:ascii="华文中宋" w:hAnsi="华文中宋" w:eastAsia="华文中宋" w:cs="华文中宋"/>
          <w:b/>
          <w:sz w:val="36"/>
        </w:rPr>
        <w:t>公告</w:t>
      </w:r>
    </w:p>
    <w:p w14:paraId="491BCC2C">
      <w:pPr>
        <w:rPr>
          <w:rFonts w:ascii="华文仿宋" w:hAnsi="华文仿宋" w:eastAsia="华文仿宋" w:cs="华文仿宋"/>
          <w:sz w:val="28"/>
        </w:rPr>
      </w:pPr>
    </w:p>
    <w:p w14:paraId="527A8802">
      <w:pPr>
        <w:spacing w:line="400" w:lineRule="exact"/>
        <w:ind w:firstLine="560" w:firstLineChars="200"/>
        <w:rPr>
          <w:rFonts w:ascii="仿宋" w:hAnsi="仿宋" w:eastAsia="仿宋"/>
          <w:b/>
          <w:sz w:val="28"/>
        </w:rPr>
      </w:pPr>
      <w:r>
        <w:rPr>
          <w:rFonts w:hint="eastAsia" w:ascii="仿宋" w:hAnsi="仿宋" w:eastAsia="仿宋"/>
          <w:sz w:val="28"/>
        </w:rPr>
        <w:t>公司现就</w:t>
      </w:r>
      <w:r>
        <w:rPr>
          <w:rFonts w:hint="eastAsia" w:ascii="仿宋" w:hAnsi="仿宋" w:eastAsia="仿宋"/>
          <w:sz w:val="28"/>
          <w:lang w:val="en-US" w:eastAsia="zh-CN"/>
        </w:rPr>
        <w:t>安徽电缆股份</w:t>
      </w:r>
      <w:r>
        <w:rPr>
          <w:rFonts w:hint="eastAsia" w:ascii="仿宋" w:hAnsi="仿宋" w:eastAsia="仿宋"/>
          <w:b/>
          <w:sz w:val="28"/>
        </w:rPr>
        <w:t>有限公司</w:t>
      </w:r>
      <w:r>
        <w:rPr>
          <w:rFonts w:hint="eastAsia" w:ascii="仿宋" w:hAnsi="仿宋" w:eastAsia="仿宋"/>
          <w:b/>
          <w:sz w:val="28"/>
          <w:lang w:val="en-US" w:eastAsia="zh-CN"/>
        </w:rPr>
        <w:t>生产废铁</w:t>
      </w:r>
      <w:r>
        <w:rPr>
          <w:rFonts w:hint="eastAsia" w:ascii="仿宋" w:hAnsi="仿宋" w:eastAsia="仿宋"/>
          <w:sz w:val="28"/>
        </w:rPr>
        <w:t>进行公开招标处置，</w:t>
      </w:r>
      <w:r>
        <w:rPr>
          <w:rFonts w:hint="eastAsia" w:ascii="仿宋" w:hAnsi="仿宋" w:eastAsia="仿宋" w:cs="仿宋"/>
          <w:sz w:val="28"/>
        </w:rPr>
        <w:t>现诚邀符合条件的企业及个人前来投标</w:t>
      </w:r>
      <w:r>
        <w:rPr>
          <w:rFonts w:hint="eastAsia" w:ascii="仿宋" w:hAnsi="仿宋" w:eastAsia="仿宋"/>
          <w:sz w:val="28"/>
        </w:rPr>
        <w:t>：</w:t>
      </w:r>
      <w:r>
        <w:br w:type="textWrapping"/>
      </w:r>
      <w:r>
        <w:rPr>
          <w:rFonts w:ascii="仿宋" w:hAnsi="仿宋" w:eastAsia="仿宋"/>
          <w:b/>
          <w:sz w:val="28"/>
        </w:rPr>
        <w:t xml:space="preserve">    一</w:t>
      </w:r>
      <w:r>
        <w:rPr>
          <w:rFonts w:hint="eastAsia" w:ascii="仿宋" w:hAnsi="仿宋" w:eastAsia="仿宋"/>
          <w:b/>
          <w:sz w:val="28"/>
        </w:rPr>
        <w:t>、招标</w:t>
      </w:r>
      <w:r>
        <w:rPr>
          <w:rFonts w:ascii="仿宋" w:hAnsi="仿宋" w:eastAsia="仿宋"/>
          <w:b/>
          <w:sz w:val="28"/>
        </w:rPr>
        <w:t>项目概况：</w:t>
      </w:r>
      <w:r>
        <w:br w:type="textWrapping"/>
      </w:r>
      <w:r>
        <w:rPr>
          <w:rFonts w:ascii="仿宋" w:hAnsi="仿宋" w:eastAsia="仿宋"/>
          <w:sz w:val="28"/>
        </w:rPr>
        <w:t xml:space="preserve">    1</w:t>
      </w:r>
      <w:r>
        <w:rPr>
          <w:rFonts w:hint="eastAsia" w:ascii="仿宋" w:hAnsi="仿宋" w:eastAsia="仿宋"/>
          <w:sz w:val="28"/>
        </w:rPr>
        <w:t>、招标</w:t>
      </w:r>
      <w:r>
        <w:rPr>
          <w:rFonts w:ascii="仿宋" w:hAnsi="仿宋" w:eastAsia="仿宋"/>
          <w:sz w:val="28"/>
        </w:rPr>
        <w:t>项目名称：</w:t>
      </w:r>
      <w:r>
        <w:rPr>
          <w:rFonts w:hint="eastAsia" w:ascii="仿宋" w:hAnsi="仿宋" w:eastAsia="仿宋"/>
          <w:sz w:val="28"/>
          <w:lang w:val="en-US" w:eastAsia="zh-CN"/>
        </w:rPr>
        <w:t>安徽电缆股份</w:t>
      </w:r>
      <w:r>
        <w:rPr>
          <w:rFonts w:hint="eastAsia" w:ascii="仿宋" w:hAnsi="仿宋" w:eastAsia="仿宋"/>
          <w:b/>
          <w:sz w:val="28"/>
        </w:rPr>
        <w:t>有限公司</w:t>
      </w:r>
      <w:r>
        <w:rPr>
          <w:rFonts w:hint="eastAsia" w:ascii="仿宋" w:hAnsi="仿宋" w:eastAsia="仿宋"/>
          <w:b/>
          <w:sz w:val="28"/>
          <w:lang w:val="en-US" w:eastAsia="zh-CN"/>
        </w:rPr>
        <w:t>生产废铁</w:t>
      </w:r>
      <w:r>
        <w:rPr>
          <w:rFonts w:hint="eastAsia" w:ascii="仿宋" w:hAnsi="仿宋" w:eastAsia="仿宋"/>
          <w:b/>
          <w:sz w:val="28"/>
        </w:rPr>
        <w:t>处置</w:t>
      </w:r>
      <w:r>
        <w:rPr>
          <w:rFonts w:hint="eastAsia" w:ascii="仿宋" w:hAnsi="仿宋" w:eastAsia="仿宋"/>
          <w:sz w:val="28"/>
        </w:rPr>
        <w:t>；</w:t>
      </w:r>
    </w:p>
    <w:p w14:paraId="4E6602E1">
      <w:pPr>
        <w:spacing w:line="400" w:lineRule="exact"/>
        <w:ind w:firstLine="560" w:firstLineChars="200"/>
        <w:rPr>
          <w:rFonts w:ascii="仿宋" w:hAnsi="仿宋" w:eastAsia="仿宋"/>
          <w:sz w:val="28"/>
        </w:rPr>
      </w:pPr>
      <w:r>
        <w:rPr>
          <w:rFonts w:hint="eastAsia" w:ascii="仿宋" w:hAnsi="仿宋" w:eastAsia="仿宋"/>
          <w:sz w:val="28"/>
        </w:rPr>
        <w:t>2、招标</w:t>
      </w:r>
      <w:r>
        <w:rPr>
          <w:rFonts w:ascii="仿宋" w:hAnsi="仿宋" w:eastAsia="仿宋"/>
          <w:sz w:val="28"/>
        </w:rPr>
        <w:t>项目地点：</w:t>
      </w:r>
      <w:r>
        <w:rPr>
          <w:rFonts w:hint="eastAsia" w:ascii="仿宋" w:hAnsi="仿宋" w:eastAsia="仿宋"/>
          <w:sz w:val="28"/>
          <w:lang w:val="en-US" w:eastAsia="zh-CN"/>
        </w:rPr>
        <w:t>安徽电缆股份</w:t>
      </w:r>
      <w:r>
        <w:rPr>
          <w:rFonts w:hint="eastAsia" w:ascii="仿宋" w:hAnsi="仿宋" w:eastAsia="仿宋"/>
          <w:b/>
          <w:sz w:val="28"/>
        </w:rPr>
        <w:t>有限公司</w:t>
      </w:r>
      <w:r>
        <w:rPr>
          <w:rFonts w:hint="eastAsia" w:ascii="仿宋" w:hAnsi="仿宋" w:eastAsia="仿宋"/>
          <w:b/>
          <w:bCs/>
          <w:sz w:val="28"/>
        </w:rPr>
        <w:t>所在地</w:t>
      </w:r>
      <w:r>
        <w:rPr>
          <w:rFonts w:hint="eastAsia" w:ascii="仿宋" w:hAnsi="仿宋" w:eastAsia="仿宋"/>
          <w:sz w:val="28"/>
        </w:rPr>
        <w:t>；</w:t>
      </w:r>
    </w:p>
    <w:p w14:paraId="2EF87779">
      <w:pPr>
        <w:spacing w:line="400" w:lineRule="exact"/>
        <w:ind w:firstLine="560" w:firstLineChars="200"/>
        <w:rPr>
          <w:rFonts w:ascii="仿宋" w:hAnsi="仿宋" w:eastAsia="仿宋" w:cs="仿宋"/>
          <w:sz w:val="28"/>
        </w:rPr>
      </w:pPr>
      <w:r>
        <w:rPr>
          <w:rFonts w:hint="eastAsia" w:ascii="仿宋" w:hAnsi="仿宋" w:eastAsia="仿宋" w:cs="仿宋"/>
          <w:sz w:val="28"/>
        </w:rPr>
        <w:t>二</w:t>
      </w:r>
      <w:r>
        <w:rPr>
          <w:rFonts w:hint="eastAsia" w:ascii="仿宋" w:hAnsi="仿宋" w:eastAsia="仿宋" w:cs="仿宋"/>
          <w:b/>
          <w:sz w:val="30"/>
        </w:rPr>
        <w:t>、投标企业资格要求：</w:t>
      </w:r>
    </w:p>
    <w:p w14:paraId="4820C583">
      <w:pPr>
        <w:spacing w:line="400" w:lineRule="atLeast"/>
        <w:rPr>
          <w:rFonts w:ascii="仿宋" w:hAnsi="仿宋" w:eastAsia="仿宋" w:cs="仿宋"/>
          <w:sz w:val="28"/>
        </w:rPr>
      </w:pPr>
      <w:r>
        <w:rPr>
          <w:rFonts w:hint="eastAsia" w:ascii="仿宋" w:hAnsi="仿宋" w:eastAsia="仿宋" w:cs="仿宋"/>
          <w:sz w:val="28"/>
        </w:rPr>
        <w:t xml:space="preserve">     1、具有完全民事行为能力的自然人，在资金等方面具有相应的能力、具有独立订立合同的能力；</w:t>
      </w:r>
    </w:p>
    <w:p w14:paraId="0AEAE3DA">
      <w:pPr>
        <w:spacing w:line="400" w:lineRule="atLeast"/>
        <w:ind w:firstLine="560" w:firstLineChars="200"/>
        <w:rPr>
          <w:rFonts w:ascii="仿宋" w:hAnsi="仿宋" w:eastAsia="仿宋" w:cs="仿宋"/>
          <w:b/>
          <w:sz w:val="30"/>
        </w:rPr>
      </w:pPr>
      <w:r>
        <w:rPr>
          <w:rFonts w:hint="eastAsia" w:ascii="仿宋" w:hAnsi="仿宋" w:eastAsia="仿宋" w:cs="仿宋"/>
          <w:sz w:val="28"/>
        </w:rPr>
        <w:t>三</w:t>
      </w:r>
      <w:r>
        <w:rPr>
          <w:rFonts w:hint="eastAsia" w:ascii="仿宋" w:hAnsi="仿宋" w:eastAsia="仿宋" w:cs="仿宋"/>
          <w:b/>
          <w:sz w:val="30"/>
        </w:rPr>
        <w:t>、招标标的：</w:t>
      </w:r>
    </w:p>
    <w:p w14:paraId="776CAA4B">
      <w:pPr>
        <w:spacing w:line="400" w:lineRule="atLeast"/>
        <w:ind w:firstLine="602" w:firstLineChars="200"/>
        <w:rPr>
          <w:rFonts w:hint="default" w:ascii="仿宋" w:hAnsi="仿宋" w:eastAsia="仿宋" w:cs="仿宋"/>
          <w:sz w:val="28"/>
        </w:rPr>
      </w:pPr>
      <w:r>
        <w:rPr>
          <w:rFonts w:hint="eastAsia" w:ascii="仿宋" w:hAnsi="仿宋" w:eastAsia="仿宋" w:cs="仿宋"/>
          <w:b/>
          <w:sz w:val="30"/>
        </w:rPr>
        <w:t xml:space="preserve">  </w:t>
      </w:r>
      <w:r>
        <w:rPr>
          <w:rFonts w:hint="eastAsia" w:ascii="仿宋" w:hAnsi="仿宋" w:eastAsia="仿宋" w:cs="仿宋"/>
          <w:b/>
          <w:sz w:val="30"/>
          <w:lang w:val="en-US" w:eastAsia="zh-CN"/>
        </w:rPr>
        <w:t>生产废铁招标</w:t>
      </w:r>
      <w:r>
        <w:rPr>
          <w:rFonts w:hint="default" w:ascii="仿宋" w:hAnsi="仿宋" w:eastAsia="仿宋" w:cs="仿宋"/>
          <w:sz w:val="28"/>
        </w:rPr>
        <w:t>（</w:t>
      </w:r>
      <w:r>
        <w:rPr>
          <w:rFonts w:hint="eastAsia" w:ascii="仿宋" w:hAnsi="仿宋" w:eastAsia="仿宋" w:cs="仿宋"/>
          <w:sz w:val="28"/>
          <w:lang w:val="en-US" w:eastAsia="zh-CN"/>
        </w:rPr>
        <w:t>到现场看货评估</w:t>
      </w:r>
      <w:r>
        <w:rPr>
          <w:rFonts w:hint="default" w:ascii="仿宋" w:hAnsi="仿宋" w:eastAsia="仿宋" w:cs="仿宋"/>
          <w:sz w:val="28"/>
        </w:rPr>
        <w:t>）</w:t>
      </w:r>
    </w:p>
    <w:p w14:paraId="354683F3">
      <w:pPr>
        <w:spacing w:line="400" w:lineRule="atLeast"/>
        <w:ind w:firstLine="562" w:firstLineChars="200"/>
        <w:rPr>
          <w:rFonts w:ascii="仿宋" w:hAnsi="仿宋" w:eastAsia="仿宋" w:cs="仿宋"/>
          <w:sz w:val="28"/>
        </w:rPr>
      </w:pPr>
      <w:r>
        <w:rPr>
          <w:rFonts w:hint="eastAsia" w:ascii="仿宋" w:hAnsi="仿宋" w:eastAsia="仿宋" w:cs="仿宋"/>
          <w:b/>
          <w:sz w:val="28"/>
        </w:rPr>
        <w:t>四、招标文件获取时间及截标日</w:t>
      </w:r>
    </w:p>
    <w:p w14:paraId="01BBCF5B">
      <w:pPr>
        <w:spacing w:line="400" w:lineRule="atLeast"/>
        <w:ind w:firstLine="560" w:firstLineChars="200"/>
        <w:rPr>
          <w:rFonts w:ascii="仿宋" w:hAnsi="仿宋" w:eastAsia="仿宋" w:cs="仿宋"/>
          <w:sz w:val="28"/>
        </w:rPr>
      </w:pPr>
      <w:r>
        <w:rPr>
          <w:rFonts w:hint="eastAsia" w:ascii="仿宋" w:hAnsi="仿宋" w:eastAsia="仿宋" w:cs="仿宋"/>
          <w:sz w:val="28"/>
        </w:rPr>
        <w:t>1</w:t>
      </w:r>
      <w:r>
        <w:rPr>
          <w:rFonts w:ascii="仿宋" w:hAnsi="仿宋" w:eastAsia="仿宋" w:cs="仿宋"/>
          <w:sz w:val="28"/>
        </w:rPr>
        <w:t>、</w:t>
      </w:r>
      <w:r>
        <w:rPr>
          <w:rFonts w:hint="eastAsia" w:ascii="仿宋" w:hAnsi="仿宋" w:eastAsia="仿宋" w:cs="仿宋"/>
          <w:sz w:val="28"/>
        </w:rPr>
        <w:t>报名</w:t>
      </w:r>
      <w:r>
        <w:rPr>
          <w:rFonts w:ascii="仿宋" w:hAnsi="仿宋" w:eastAsia="仿宋" w:cs="仿宋"/>
          <w:sz w:val="28"/>
        </w:rPr>
        <w:t>及招标文件领取</w:t>
      </w:r>
      <w:r>
        <w:rPr>
          <w:rFonts w:hint="eastAsia" w:ascii="仿宋" w:hAnsi="仿宋" w:eastAsia="仿宋" w:cs="仿宋"/>
          <w:sz w:val="28"/>
        </w:rPr>
        <w:t>截止日期：</w:t>
      </w:r>
      <w:r>
        <w:rPr>
          <w:rFonts w:ascii="仿宋" w:hAnsi="仿宋" w:eastAsia="仿宋" w:cs="仿宋"/>
          <w:sz w:val="28"/>
        </w:rPr>
        <w:t>202</w:t>
      </w:r>
      <w:r>
        <w:rPr>
          <w:rFonts w:hint="eastAsia" w:ascii="仿宋" w:hAnsi="仿宋" w:eastAsia="仿宋" w:cs="仿宋"/>
          <w:sz w:val="28"/>
          <w:lang w:val="en-US" w:eastAsia="zh-CN"/>
        </w:rPr>
        <w:t>5</w:t>
      </w:r>
      <w:r>
        <w:rPr>
          <w:rFonts w:hint="eastAsia" w:ascii="仿宋" w:hAnsi="仿宋" w:eastAsia="仿宋" w:cs="仿宋"/>
          <w:sz w:val="28"/>
        </w:rPr>
        <w:t>年</w:t>
      </w:r>
      <w:r>
        <w:rPr>
          <w:rFonts w:hint="eastAsia" w:ascii="仿宋" w:hAnsi="仿宋" w:eastAsia="仿宋" w:cs="仿宋"/>
          <w:sz w:val="28"/>
          <w:lang w:val="en-US" w:eastAsia="zh-CN"/>
        </w:rPr>
        <w:t>7</w:t>
      </w:r>
      <w:r>
        <w:rPr>
          <w:rFonts w:hint="eastAsia" w:ascii="仿宋" w:hAnsi="仿宋" w:eastAsia="仿宋" w:cs="仿宋"/>
          <w:sz w:val="28"/>
        </w:rPr>
        <w:t>月</w:t>
      </w:r>
      <w:r>
        <w:rPr>
          <w:rFonts w:hint="eastAsia" w:ascii="仿宋" w:hAnsi="仿宋" w:eastAsia="仿宋" w:cs="仿宋"/>
          <w:sz w:val="28"/>
          <w:lang w:val="en-US" w:eastAsia="zh-CN"/>
        </w:rPr>
        <w:t>10</w:t>
      </w:r>
      <w:r>
        <w:rPr>
          <w:rFonts w:hint="eastAsia" w:ascii="仿宋" w:hAnsi="仿宋" w:eastAsia="仿宋" w:cs="仿宋"/>
          <w:sz w:val="28"/>
        </w:rPr>
        <w:t xml:space="preserve">日  </w:t>
      </w:r>
    </w:p>
    <w:p w14:paraId="492D9AEC">
      <w:pPr>
        <w:spacing w:line="400" w:lineRule="atLeast"/>
        <w:ind w:firstLine="560" w:firstLineChars="200"/>
        <w:rPr>
          <w:rFonts w:ascii="仿宋" w:hAnsi="仿宋" w:eastAsia="仿宋" w:cs="仿宋"/>
          <w:sz w:val="28"/>
        </w:rPr>
      </w:pPr>
      <w:r>
        <w:rPr>
          <w:rFonts w:hint="eastAsia" w:ascii="仿宋" w:hAnsi="仿宋" w:eastAsia="仿宋" w:cs="仿宋"/>
          <w:sz w:val="28"/>
        </w:rPr>
        <w:t>2</w:t>
      </w:r>
      <w:r>
        <w:rPr>
          <w:rFonts w:ascii="仿宋" w:hAnsi="仿宋" w:eastAsia="仿宋" w:cs="仿宋"/>
          <w:sz w:val="28"/>
        </w:rPr>
        <w:t>、投标</w:t>
      </w:r>
      <w:r>
        <w:rPr>
          <w:rFonts w:hint="eastAsia" w:ascii="仿宋" w:hAnsi="仿宋" w:eastAsia="仿宋" w:cs="仿宋"/>
          <w:sz w:val="28"/>
        </w:rPr>
        <w:t>截止时间：</w:t>
      </w:r>
      <w:r>
        <w:rPr>
          <w:rFonts w:ascii="仿宋" w:hAnsi="仿宋" w:eastAsia="仿宋" w:cs="仿宋"/>
          <w:sz w:val="28"/>
        </w:rPr>
        <w:t>202</w:t>
      </w:r>
      <w:r>
        <w:rPr>
          <w:rFonts w:hint="eastAsia" w:ascii="仿宋" w:hAnsi="仿宋" w:eastAsia="仿宋" w:cs="仿宋"/>
          <w:sz w:val="28"/>
          <w:lang w:val="en-US" w:eastAsia="zh-CN"/>
        </w:rPr>
        <w:t>5</w:t>
      </w:r>
      <w:r>
        <w:rPr>
          <w:rFonts w:hint="eastAsia" w:ascii="仿宋" w:hAnsi="仿宋" w:eastAsia="仿宋" w:cs="仿宋"/>
          <w:sz w:val="28"/>
        </w:rPr>
        <w:t>年</w:t>
      </w:r>
      <w:r>
        <w:rPr>
          <w:rFonts w:hint="eastAsia" w:ascii="仿宋" w:hAnsi="仿宋" w:eastAsia="仿宋" w:cs="仿宋"/>
          <w:sz w:val="28"/>
          <w:lang w:val="en-US" w:eastAsia="zh-CN"/>
        </w:rPr>
        <w:t>7</w:t>
      </w:r>
      <w:r>
        <w:rPr>
          <w:rFonts w:hint="eastAsia" w:ascii="仿宋" w:hAnsi="仿宋" w:eastAsia="仿宋" w:cs="仿宋"/>
          <w:sz w:val="28"/>
        </w:rPr>
        <w:t>月</w:t>
      </w:r>
      <w:r>
        <w:rPr>
          <w:rFonts w:hint="eastAsia" w:ascii="仿宋" w:hAnsi="仿宋" w:eastAsia="仿宋" w:cs="仿宋"/>
          <w:sz w:val="28"/>
          <w:lang w:val="en-US" w:eastAsia="zh-CN"/>
        </w:rPr>
        <w:t>10</w:t>
      </w:r>
      <w:r>
        <w:rPr>
          <w:rFonts w:hint="eastAsia" w:ascii="仿宋" w:hAnsi="仿宋" w:eastAsia="仿宋" w:cs="仿宋"/>
          <w:sz w:val="28"/>
        </w:rPr>
        <w:t xml:space="preserve">日 </w:t>
      </w:r>
    </w:p>
    <w:p w14:paraId="166F7A13">
      <w:pPr>
        <w:spacing w:line="400" w:lineRule="atLeast"/>
        <w:ind w:firstLine="560" w:firstLineChars="200"/>
        <w:rPr>
          <w:rFonts w:ascii="仿宋" w:hAnsi="仿宋" w:eastAsia="仿宋" w:cs="仿宋"/>
          <w:sz w:val="28"/>
        </w:rPr>
      </w:pPr>
      <w:r>
        <w:rPr>
          <w:rFonts w:ascii="仿宋" w:hAnsi="仿宋" w:eastAsia="仿宋" w:cs="仿宋"/>
          <w:sz w:val="28"/>
        </w:rPr>
        <w:t>3、投标报价单应以密封形式且由投标人代表签字并加盖公章邮寄至我司指定联系人</w:t>
      </w:r>
    </w:p>
    <w:p w14:paraId="06EAC245">
      <w:pPr>
        <w:spacing w:line="400" w:lineRule="exact"/>
        <w:ind w:firstLine="560" w:firstLineChars="200"/>
        <w:rPr>
          <w:rFonts w:ascii="仿宋" w:hAnsi="仿宋" w:eastAsia="仿宋" w:cs="仿宋"/>
          <w:sz w:val="28"/>
        </w:rPr>
      </w:pPr>
    </w:p>
    <w:p w14:paraId="5B24C568">
      <w:pPr>
        <w:spacing w:line="400" w:lineRule="exact"/>
        <w:ind w:firstLine="560" w:firstLineChars="200"/>
        <w:rPr>
          <w:rFonts w:hint="default" w:ascii="仿宋" w:hAnsi="仿宋" w:eastAsia="仿宋" w:cs="仿宋"/>
          <w:sz w:val="28"/>
          <w:lang w:val="en-US" w:eastAsia="zh-CN"/>
        </w:rPr>
      </w:pPr>
      <w:r>
        <w:rPr>
          <w:rFonts w:hint="eastAsia" w:ascii="仿宋" w:hAnsi="仿宋" w:eastAsia="仿宋" w:cs="仿宋"/>
          <w:sz w:val="28"/>
        </w:rPr>
        <w:t>招标部门：</w:t>
      </w:r>
      <w:r>
        <w:rPr>
          <w:rFonts w:hint="eastAsia" w:ascii="仿宋" w:hAnsi="仿宋" w:eastAsia="仿宋" w:cs="仿宋"/>
          <w:sz w:val="28"/>
          <w:lang w:val="en-US" w:eastAsia="zh-CN"/>
        </w:rPr>
        <w:t>安缆采购服务部</w:t>
      </w:r>
    </w:p>
    <w:p w14:paraId="6676138C">
      <w:pPr>
        <w:spacing w:line="400" w:lineRule="exact"/>
        <w:ind w:firstLine="560" w:firstLineChars="200"/>
        <w:rPr>
          <w:rFonts w:hint="default" w:ascii="仿宋" w:hAnsi="仿宋" w:eastAsia="仿宋" w:cs="仿宋"/>
          <w:sz w:val="28"/>
          <w:lang w:val="en-US" w:eastAsia="zh-CN"/>
        </w:rPr>
      </w:pPr>
      <w:r>
        <w:rPr>
          <w:rFonts w:hint="eastAsia" w:ascii="仿宋" w:hAnsi="仿宋" w:eastAsia="仿宋" w:cs="仿宋"/>
          <w:sz w:val="28"/>
        </w:rPr>
        <w:t>地址：</w:t>
      </w:r>
      <w:r>
        <w:rPr>
          <w:rFonts w:hint="eastAsia" w:ascii="仿宋" w:hAnsi="仿宋" w:eastAsia="仿宋" w:cs="仿宋"/>
          <w:sz w:val="28"/>
          <w:lang w:val="en-US" w:eastAsia="zh-CN"/>
        </w:rPr>
        <w:t>安徽省天长市安缆大道1号</w:t>
      </w:r>
    </w:p>
    <w:p w14:paraId="41A89EB0">
      <w:pPr>
        <w:spacing w:line="480" w:lineRule="exact"/>
        <w:ind w:firstLine="560" w:firstLineChars="200"/>
        <w:rPr>
          <w:rFonts w:ascii="仿宋" w:hAnsi="仿宋" w:eastAsia="仿宋" w:cs="仿宋"/>
          <w:sz w:val="28"/>
        </w:rPr>
      </w:pPr>
      <w:r>
        <w:rPr>
          <w:rFonts w:hint="eastAsia" w:ascii="仿宋" w:hAnsi="仿宋" w:eastAsia="仿宋"/>
          <w:sz w:val="28"/>
        </w:rPr>
        <w:t>联系人：</w:t>
      </w:r>
      <w:r>
        <w:rPr>
          <w:rFonts w:hint="eastAsia" w:ascii="仿宋" w:hAnsi="仿宋" w:eastAsia="仿宋"/>
          <w:sz w:val="28"/>
          <w:lang w:val="en-US" w:eastAsia="zh-CN"/>
        </w:rPr>
        <w:t>戴雪峰</w:t>
      </w:r>
      <w:r>
        <w:rPr>
          <w:rFonts w:hint="eastAsia" w:ascii="仿宋" w:hAnsi="仿宋" w:eastAsia="仿宋"/>
          <w:sz w:val="28"/>
        </w:rPr>
        <w:t>；电话：</w:t>
      </w:r>
      <w:r>
        <w:rPr>
          <w:rFonts w:ascii="仿宋" w:hAnsi="仿宋" w:eastAsia="仿宋"/>
          <w:sz w:val="28"/>
        </w:rPr>
        <w:t>188</w:t>
      </w:r>
      <w:r>
        <w:rPr>
          <w:rFonts w:hint="eastAsia" w:ascii="仿宋" w:hAnsi="仿宋" w:eastAsia="仿宋"/>
          <w:sz w:val="28"/>
          <w:lang w:val="en-US" w:eastAsia="zh-CN"/>
        </w:rPr>
        <w:t>05509051</w:t>
      </w:r>
      <w:r>
        <w:rPr>
          <w:rFonts w:hint="eastAsia" w:ascii="仿宋" w:hAnsi="仿宋" w:eastAsia="仿宋"/>
          <w:sz w:val="28"/>
        </w:rPr>
        <w:t>；</w:t>
      </w:r>
    </w:p>
    <w:p w14:paraId="79CB3B6C">
      <w:pPr>
        <w:spacing w:line="480" w:lineRule="exact"/>
        <w:ind w:firstLine="560" w:firstLineChars="200"/>
        <w:rPr>
          <w:rFonts w:hint="default" w:ascii="仿宋" w:hAnsi="仿宋" w:eastAsia="仿宋" w:cs="仿宋"/>
          <w:sz w:val="28"/>
          <w:woUserID w:val="1"/>
        </w:rPr>
      </w:pPr>
      <w:r>
        <w:rPr>
          <w:rFonts w:hint="eastAsia" w:ascii="仿宋" w:hAnsi="仿宋" w:eastAsia="仿宋"/>
          <w:sz w:val="28"/>
        </w:rPr>
        <w:t>邮箱：</w:t>
      </w:r>
      <w:r>
        <w:rPr>
          <w:rFonts w:hint="default" w:ascii="仿宋" w:hAnsi="仿宋" w:eastAsia="仿宋"/>
          <w:sz w:val="28"/>
          <w:woUserID w:val="1"/>
        </w:rPr>
        <w:t>100616@600869.com</w:t>
      </w:r>
    </w:p>
    <w:p w14:paraId="518AB8D3">
      <w:pPr>
        <w:spacing w:line="400" w:lineRule="exact"/>
        <w:ind w:firstLine="5040" w:firstLineChars="1800"/>
        <w:rPr>
          <w:rFonts w:hint="eastAsia" w:ascii="仿宋" w:hAnsi="仿宋" w:eastAsia="仿宋" w:cs="仿宋"/>
          <w:sz w:val="28"/>
        </w:rPr>
      </w:pPr>
      <w:r>
        <w:rPr>
          <w:rFonts w:hint="eastAsia" w:ascii="仿宋" w:hAnsi="仿宋" w:eastAsia="仿宋" w:cs="仿宋"/>
          <w:sz w:val="28"/>
        </w:rPr>
        <w:t xml:space="preserve">   </w:t>
      </w:r>
    </w:p>
    <w:p w14:paraId="553AFC7D">
      <w:pPr>
        <w:spacing w:line="400" w:lineRule="exact"/>
        <w:ind w:firstLine="5040" w:firstLineChars="1800"/>
        <w:rPr>
          <w:rFonts w:hint="eastAsia" w:ascii="仿宋" w:hAnsi="仿宋" w:eastAsia="仿宋" w:cs="仿宋"/>
          <w:sz w:val="28"/>
        </w:rPr>
      </w:pPr>
    </w:p>
    <w:p w14:paraId="09D4F70C">
      <w:pPr>
        <w:spacing w:line="400" w:lineRule="exact"/>
        <w:ind w:firstLine="5040" w:firstLineChars="1800"/>
        <w:rPr>
          <w:rFonts w:ascii="仿宋" w:hAnsi="仿宋" w:eastAsia="仿宋"/>
          <w:sz w:val="28"/>
        </w:rPr>
      </w:pPr>
      <w:r>
        <w:rPr>
          <w:rFonts w:hint="eastAsia" w:ascii="仿宋" w:hAnsi="仿宋" w:eastAsia="仿宋"/>
          <w:sz w:val="28"/>
          <w:lang w:val="en-US" w:eastAsia="zh-CN"/>
        </w:rPr>
        <w:t>安徽电缆股份</w:t>
      </w:r>
      <w:r>
        <w:rPr>
          <w:rFonts w:hint="eastAsia" w:ascii="仿宋" w:hAnsi="仿宋" w:eastAsia="仿宋"/>
          <w:sz w:val="28"/>
        </w:rPr>
        <w:t>有限公司</w:t>
      </w:r>
    </w:p>
    <w:p w14:paraId="00DAE91D">
      <w:pPr>
        <w:spacing w:line="400" w:lineRule="exact"/>
        <w:rPr>
          <w:rFonts w:ascii="仿宋" w:hAnsi="仿宋" w:eastAsia="仿宋"/>
          <w:sz w:val="28"/>
        </w:rPr>
      </w:pPr>
    </w:p>
    <w:p w14:paraId="1D760027">
      <w:pPr>
        <w:spacing w:line="400" w:lineRule="exact"/>
        <w:ind w:firstLine="4760" w:firstLineChars="1700"/>
        <w:rPr>
          <w:rFonts w:ascii="仿宋" w:hAnsi="仿宋" w:eastAsia="仿宋"/>
          <w:sz w:val="28"/>
        </w:rPr>
      </w:pPr>
      <w:r>
        <w:rPr>
          <w:rFonts w:hint="eastAsia" w:ascii="仿宋" w:hAnsi="仿宋" w:eastAsia="仿宋"/>
          <w:sz w:val="28"/>
        </w:rPr>
        <w:t>日期：</w:t>
      </w:r>
      <w:r>
        <w:rPr>
          <w:rFonts w:ascii="仿宋" w:hAnsi="仿宋" w:eastAsia="仿宋"/>
          <w:sz w:val="28"/>
        </w:rPr>
        <w:t>202</w:t>
      </w:r>
      <w:r>
        <w:rPr>
          <w:rFonts w:hint="eastAsia" w:ascii="仿宋" w:hAnsi="仿宋" w:eastAsia="仿宋"/>
          <w:sz w:val="28"/>
          <w:lang w:val="en-US" w:eastAsia="zh-CN"/>
        </w:rPr>
        <w:t>5</w:t>
      </w:r>
      <w:r>
        <w:rPr>
          <w:rFonts w:hint="eastAsia" w:ascii="仿宋" w:hAnsi="仿宋" w:eastAsia="仿宋"/>
          <w:sz w:val="28"/>
        </w:rPr>
        <w:t>年</w:t>
      </w:r>
      <w:r>
        <w:rPr>
          <w:rFonts w:hint="eastAsia" w:ascii="仿宋" w:hAnsi="仿宋" w:eastAsia="仿宋"/>
          <w:sz w:val="28"/>
          <w:lang w:val="en-US" w:eastAsia="zh-CN"/>
        </w:rPr>
        <w:t>7</w:t>
      </w:r>
      <w:r>
        <w:rPr>
          <w:rFonts w:ascii="仿宋" w:hAnsi="仿宋" w:eastAsia="仿宋"/>
          <w:sz w:val="28"/>
        </w:rPr>
        <w:t>月</w:t>
      </w:r>
      <w:r>
        <w:rPr>
          <w:rFonts w:hint="eastAsia" w:ascii="仿宋" w:hAnsi="仿宋" w:eastAsia="仿宋"/>
          <w:sz w:val="28"/>
          <w:lang w:val="en-US" w:eastAsia="zh-CN"/>
        </w:rPr>
        <w:t>3</w:t>
      </w:r>
      <w:r>
        <w:rPr>
          <w:rFonts w:hint="eastAsia" w:ascii="仿宋" w:hAnsi="仿宋" w:eastAsia="仿宋"/>
          <w:sz w:val="28"/>
        </w:rPr>
        <w:t>日</w:t>
      </w:r>
    </w:p>
    <w:p w14:paraId="08A33F46">
      <w:pPr>
        <w:wordWrap w:val="0"/>
        <w:spacing w:line="400" w:lineRule="atLeast"/>
        <w:jc w:val="right"/>
        <w:rPr>
          <w:rFonts w:ascii="仿宋" w:hAnsi="仿宋" w:eastAsia="仿宋" w:cs="仿宋"/>
          <w:sz w:val="28"/>
        </w:rPr>
      </w:pPr>
      <w:r>
        <w:rPr>
          <w:rFonts w:hint="eastAsia" w:ascii="仿宋" w:hAnsi="仿宋" w:eastAsia="仿宋" w:cs="仿宋"/>
          <w:sz w:val="28"/>
        </w:rPr>
        <w:t xml:space="preserve">           </w:t>
      </w:r>
    </w:p>
    <w:tbl>
      <w:tblPr>
        <w:tblStyle w:val="2"/>
        <w:tblW w:w="930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4"/>
        <w:gridCol w:w="2114"/>
        <w:gridCol w:w="2086"/>
        <w:gridCol w:w="1800"/>
        <w:gridCol w:w="2714"/>
      </w:tblGrid>
      <w:tr w14:paraId="23320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9308" w:type="dxa"/>
            <w:gridSpan w:val="5"/>
            <w:tcBorders>
              <w:top w:val="nil"/>
              <w:left w:val="nil"/>
              <w:bottom w:val="nil"/>
              <w:right w:val="nil"/>
            </w:tcBorders>
            <w:shd w:val="clear" w:color="auto" w:fill="auto"/>
            <w:noWrap/>
            <w:vAlign w:val="center"/>
          </w:tcPr>
          <w:p w14:paraId="490E4C5B">
            <w:pPr>
              <w:spacing w:line="400" w:lineRule="atLeast"/>
              <w:rPr>
                <w:rFonts w:hint="eastAsia" w:ascii="宋体" w:hAnsi="宋体" w:eastAsia="宋体" w:cs="宋体"/>
                <w:b/>
                <w:bCs/>
                <w:i w:val="0"/>
                <w:iCs w:val="0"/>
                <w:color w:val="000000"/>
                <w:sz w:val="40"/>
                <w:szCs w:val="40"/>
                <w:u w:val="none"/>
              </w:rPr>
            </w:pPr>
            <w:r>
              <w:rPr>
                <w:rFonts w:hint="eastAsia" w:ascii="仿宋" w:hAnsi="仿宋" w:eastAsia="仿宋" w:cs="仿宋"/>
                <w:sz w:val="28"/>
              </w:rPr>
              <w:t xml:space="preserve">          </w:t>
            </w:r>
            <w:r>
              <w:rPr>
                <w:rFonts w:hint="eastAsia" w:ascii="宋体" w:hAnsi="宋体" w:eastAsia="宋体" w:cs="宋体"/>
                <w:b/>
                <w:bCs/>
                <w:i w:val="0"/>
                <w:iCs w:val="0"/>
                <w:color w:val="000000"/>
                <w:kern w:val="0"/>
                <w:sz w:val="40"/>
                <w:szCs w:val="40"/>
                <w:u w:val="none"/>
                <w:lang w:val="en-US" w:eastAsia="zh-CN" w:bidi="ar"/>
              </w:rPr>
              <w:t>2025年安徽电缆（废品出售）报价表</w:t>
            </w:r>
          </w:p>
        </w:tc>
      </w:tr>
      <w:tr w14:paraId="6BF94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9308" w:type="dxa"/>
            <w:gridSpan w:val="5"/>
            <w:tcBorders>
              <w:top w:val="nil"/>
              <w:left w:val="nil"/>
              <w:bottom w:val="single" w:color="000000" w:sz="4" w:space="0"/>
              <w:right w:val="nil"/>
            </w:tcBorders>
            <w:shd w:val="clear" w:color="auto" w:fill="auto"/>
            <w:noWrap/>
            <w:vAlign w:val="center"/>
          </w:tcPr>
          <w:p w14:paraId="1CFB3FAD">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中标有效期2025年7月10日起~2025年8月10日止</w:t>
            </w:r>
          </w:p>
        </w:tc>
      </w:tr>
      <w:tr w14:paraId="27ADE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7"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EB0AE">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2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AF336">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名称</w:t>
            </w:r>
          </w:p>
        </w:tc>
        <w:tc>
          <w:tcPr>
            <w:tcW w:w="2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4EC27">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报价（元/吨）</w:t>
            </w:r>
            <w:r>
              <w:rPr>
                <w:rFonts w:hint="eastAsia" w:ascii="宋体" w:hAnsi="宋体" w:eastAsia="宋体" w:cs="宋体"/>
                <w:b/>
                <w:bCs/>
                <w:i w:val="0"/>
                <w:iCs w:val="0"/>
                <w:color w:val="000000"/>
                <w:kern w:val="0"/>
                <w:sz w:val="28"/>
                <w:szCs w:val="28"/>
                <w:u w:val="none"/>
                <w:lang w:val="en-US" w:eastAsia="zh-CN" w:bidi="ar"/>
              </w:rPr>
              <w:br w:type="textWrapping"/>
            </w:r>
            <w:r>
              <w:rPr>
                <w:rFonts w:hint="eastAsia" w:ascii="宋体" w:hAnsi="宋体" w:eastAsia="宋体" w:cs="宋体"/>
                <w:b/>
                <w:bCs/>
                <w:i w:val="0"/>
                <w:iCs w:val="0"/>
                <w:color w:val="000000"/>
                <w:kern w:val="0"/>
                <w:sz w:val="28"/>
                <w:szCs w:val="28"/>
                <w:u w:val="none"/>
                <w:lang w:val="en-US" w:eastAsia="zh-CN" w:bidi="ar"/>
              </w:rPr>
              <w:t>（不含税价）</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0B864">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议价（元/吨）</w:t>
            </w:r>
            <w:r>
              <w:rPr>
                <w:rFonts w:hint="eastAsia" w:ascii="宋体" w:hAnsi="宋体" w:eastAsia="宋体" w:cs="宋体"/>
                <w:b/>
                <w:bCs/>
                <w:i w:val="0"/>
                <w:iCs w:val="0"/>
                <w:color w:val="000000"/>
                <w:kern w:val="0"/>
                <w:sz w:val="28"/>
                <w:szCs w:val="28"/>
                <w:u w:val="none"/>
                <w:lang w:val="en-US" w:eastAsia="zh-CN" w:bidi="ar"/>
              </w:rPr>
              <w:br w:type="textWrapping"/>
            </w:r>
            <w:r>
              <w:rPr>
                <w:rFonts w:hint="eastAsia" w:ascii="宋体" w:hAnsi="宋体" w:eastAsia="宋体" w:cs="宋体"/>
                <w:b/>
                <w:bCs/>
                <w:i w:val="0"/>
                <w:iCs w:val="0"/>
                <w:color w:val="000000"/>
                <w:kern w:val="0"/>
                <w:sz w:val="28"/>
                <w:szCs w:val="28"/>
                <w:u w:val="none"/>
                <w:lang w:val="en-US" w:eastAsia="zh-CN" w:bidi="ar"/>
              </w:rPr>
              <w:t>（不含税价）</w:t>
            </w:r>
          </w:p>
        </w:tc>
        <w:tc>
          <w:tcPr>
            <w:tcW w:w="2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AEADC">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备注</w:t>
            </w:r>
          </w:p>
        </w:tc>
      </w:tr>
      <w:tr w14:paraId="7D99B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D6636">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1</w:t>
            </w:r>
          </w:p>
        </w:tc>
        <w:tc>
          <w:tcPr>
            <w:tcW w:w="2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984EF">
            <w:pPr>
              <w:keepNext w:val="0"/>
              <w:keepLines w:val="0"/>
              <w:widowControl/>
              <w:suppressLineNumbers w:val="0"/>
              <w:jc w:val="center"/>
              <w:textAlignment w:val="center"/>
              <w:rPr>
                <w:rFonts w:hint="default" w:ascii="宋体" w:hAnsi="宋体" w:eastAsia="宋体" w:cs="宋体"/>
                <w:i w:val="0"/>
                <w:iCs w:val="0"/>
                <w:color w:val="000000"/>
                <w:sz w:val="36"/>
                <w:szCs w:val="36"/>
                <w:u w:val="none"/>
                <w:lang w:val="en-US"/>
              </w:rPr>
            </w:pPr>
            <w:r>
              <w:rPr>
                <w:rFonts w:hint="eastAsia" w:ascii="宋体" w:hAnsi="宋体" w:eastAsia="宋体" w:cs="宋体"/>
                <w:i w:val="0"/>
                <w:iCs w:val="0"/>
                <w:color w:val="000000"/>
                <w:kern w:val="0"/>
                <w:sz w:val="36"/>
                <w:szCs w:val="36"/>
                <w:u w:val="none"/>
                <w:lang w:val="en-US" w:eastAsia="zh-CN" w:bidi="ar"/>
              </w:rPr>
              <w:t>废铁</w:t>
            </w:r>
          </w:p>
        </w:tc>
        <w:tc>
          <w:tcPr>
            <w:tcW w:w="2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D5394">
            <w:pPr>
              <w:jc w:val="center"/>
              <w:rPr>
                <w:rFonts w:hint="eastAsia" w:ascii="宋体" w:hAnsi="宋体" w:eastAsia="宋体" w:cs="宋体"/>
                <w:b/>
                <w:bCs/>
                <w:i w:val="0"/>
                <w:iCs w:val="0"/>
                <w:color w:val="000000"/>
                <w:sz w:val="28"/>
                <w:szCs w:val="28"/>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2A9BB">
            <w:pPr>
              <w:jc w:val="center"/>
              <w:rPr>
                <w:rFonts w:hint="eastAsia" w:ascii="宋体" w:hAnsi="宋体" w:eastAsia="宋体" w:cs="宋体"/>
                <w:b/>
                <w:bCs/>
                <w:i w:val="0"/>
                <w:iCs w:val="0"/>
                <w:color w:val="000000"/>
                <w:sz w:val="28"/>
                <w:szCs w:val="28"/>
                <w:u w:val="none"/>
              </w:rPr>
            </w:pPr>
          </w:p>
        </w:tc>
        <w:tc>
          <w:tcPr>
            <w:tcW w:w="2714" w:type="dxa"/>
            <w:vMerge w:val="restart"/>
            <w:tcBorders>
              <w:top w:val="single" w:color="000000" w:sz="4" w:space="0"/>
              <w:left w:val="single" w:color="000000" w:sz="4" w:space="0"/>
              <w:bottom w:val="nil"/>
              <w:right w:val="single" w:color="000000" w:sz="4" w:space="0"/>
            </w:tcBorders>
            <w:shd w:val="clear" w:color="auto" w:fill="auto"/>
            <w:vAlign w:val="center"/>
          </w:tcPr>
          <w:p w14:paraId="6C7590CE">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本次对生产废料招标为年度标，数量按每次实际处理过磅数量为准，买方如需13%税票，须补盖公章合同，须公对公付款，买方须付不低于8%税金给卖方。在报价后备注开票。</w:t>
            </w:r>
          </w:p>
        </w:tc>
      </w:tr>
      <w:tr w14:paraId="1D5DC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76AFC">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p>
        </w:tc>
        <w:tc>
          <w:tcPr>
            <w:tcW w:w="2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07160">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p>
        </w:tc>
        <w:tc>
          <w:tcPr>
            <w:tcW w:w="2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3B48B">
            <w:pPr>
              <w:jc w:val="center"/>
              <w:rPr>
                <w:rFonts w:hint="eastAsia" w:ascii="宋体" w:hAnsi="宋体" w:eastAsia="宋体" w:cs="宋体"/>
                <w:b/>
                <w:bCs/>
                <w:i w:val="0"/>
                <w:iCs w:val="0"/>
                <w:color w:val="000000"/>
                <w:sz w:val="28"/>
                <w:szCs w:val="28"/>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BD2BF">
            <w:pPr>
              <w:jc w:val="center"/>
              <w:rPr>
                <w:rFonts w:hint="eastAsia" w:ascii="宋体" w:hAnsi="宋体" w:eastAsia="宋体" w:cs="宋体"/>
                <w:b/>
                <w:bCs/>
                <w:i w:val="0"/>
                <w:iCs w:val="0"/>
                <w:color w:val="000000"/>
                <w:sz w:val="28"/>
                <w:szCs w:val="28"/>
                <w:u w:val="none"/>
              </w:rPr>
            </w:pPr>
          </w:p>
        </w:tc>
        <w:tc>
          <w:tcPr>
            <w:tcW w:w="2714" w:type="dxa"/>
            <w:vMerge w:val="continue"/>
            <w:tcBorders>
              <w:top w:val="single" w:color="000000" w:sz="4" w:space="0"/>
              <w:left w:val="single" w:color="000000" w:sz="4" w:space="0"/>
              <w:bottom w:val="nil"/>
              <w:right w:val="single" w:color="000000" w:sz="4" w:space="0"/>
            </w:tcBorders>
            <w:shd w:val="clear" w:color="auto" w:fill="auto"/>
            <w:vAlign w:val="center"/>
          </w:tcPr>
          <w:p w14:paraId="758F1515">
            <w:pPr>
              <w:jc w:val="left"/>
              <w:rPr>
                <w:rFonts w:hint="eastAsia" w:ascii="宋体" w:hAnsi="宋体" w:eastAsia="宋体" w:cs="宋体"/>
                <w:i w:val="0"/>
                <w:iCs w:val="0"/>
                <w:color w:val="000000"/>
                <w:sz w:val="28"/>
                <w:szCs w:val="28"/>
                <w:u w:val="none"/>
              </w:rPr>
            </w:pPr>
          </w:p>
        </w:tc>
      </w:tr>
      <w:tr w14:paraId="39C60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D1D49">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p>
        </w:tc>
        <w:tc>
          <w:tcPr>
            <w:tcW w:w="2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E7613">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p>
        </w:tc>
        <w:tc>
          <w:tcPr>
            <w:tcW w:w="2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59D68">
            <w:pPr>
              <w:jc w:val="center"/>
              <w:rPr>
                <w:rFonts w:hint="eastAsia" w:ascii="宋体" w:hAnsi="宋体" w:eastAsia="宋体" w:cs="宋体"/>
                <w:b/>
                <w:bCs/>
                <w:i w:val="0"/>
                <w:iCs w:val="0"/>
                <w:color w:val="000000"/>
                <w:sz w:val="28"/>
                <w:szCs w:val="28"/>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16D52">
            <w:pPr>
              <w:jc w:val="center"/>
              <w:rPr>
                <w:rFonts w:hint="eastAsia" w:ascii="宋体" w:hAnsi="宋体" w:eastAsia="宋体" w:cs="宋体"/>
                <w:b/>
                <w:bCs/>
                <w:i w:val="0"/>
                <w:iCs w:val="0"/>
                <w:color w:val="000000"/>
                <w:sz w:val="28"/>
                <w:szCs w:val="28"/>
                <w:u w:val="none"/>
              </w:rPr>
            </w:pPr>
          </w:p>
        </w:tc>
        <w:tc>
          <w:tcPr>
            <w:tcW w:w="2714" w:type="dxa"/>
            <w:vMerge w:val="continue"/>
            <w:tcBorders>
              <w:top w:val="single" w:color="000000" w:sz="4" w:space="0"/>
              <w:left w:val="single" w:color="000000" w:sz="4" w:space="0"/>
              <w:bottom w:val="nil"/>
              <w:right w:val="single" w:color="000000" w:sz="4" w:space="0"/>
            </w:tcBorders>
            <w:shd w:val="clear" w:color="auto" w:fill="auto"/>
            <w:vAlign w:val="center"/>
          </w:tcPr>
          <w:p w14:paraId="2B5FC756">
            <w:pPr>
              <w:jc w:val="left"/>
              <w:rPr>
                <w:rFonts w:hint="eastAsia" w:ascii="宋体" w:hAnsi="宋体" w:eastAsia="宋体" w:cs="宋体"/>
                <w:i w:val="0"/>
                <w:iCs w:val="0"/>
                <w:color w:val="000000"/>
                <w:sz w:val="28"/>
                <w:szCs w:val="28"/>
                <w:u w:val="none"/>
              </w:rPr>
            </w:pPr>
          </w:p>
        </w:tc>
      </w:tr>
      <w:tr w14:paraId="626FA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3CF65">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p>
        </w:tc>
        <w:tc>
          <w:tcPr>
            <w:tcW w:w="2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12A6E">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p>
        </w:tc>
        <w:tc>
          <w:tcPr>
            <w:tcW w:w="2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0F917">
            <w:pPr>
              <w:jc w:val="center"/>
              <w:rPr>
                <w:rFonts w:hint="eastAsia" w:ascii="宋体" w:hAnsi="宋体" w:eastAsia="宋体" w:cs="宋体"/>
                <w:b/>
                <w:bCs/>
                <w:i w:val="0"/>
                <w:iCs w:val="0"/>
                <w:color w:val="000000"/>
                <w:sz w:val="28"/>
                <w:szCs w:val="28"/>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9626B">
            <w:pPr>
              <w:jc w:val="center"/>
              <w:rPr>
                <w:rFonts w:hint="eastAsia" w:ascii="宋体" w:hAnsi="宋体" w:eastAsia="宋体" w:cs="宋体"/>
                <w:b/>
                <w:bCs/>
                <w:i w:val="0"/>
                <w:iCs w:val="0"/>
                <w:color w:val="000000"/>
                <w:sz w:val="28"/>
                <w:szCs w:val="28"/>
                <w:u w:val="none"/>
              </w:rPr>
            </w:pPr>
          </w:p>
        </w:tc>
        <w:tc>
          <w:tcPr>
            <w:tcW w:w="2714" w:type="dxa"/>
            <w:vMerge w:val="continue"/>
            <w:tcBorders>
              <w:top w:val="single" w:color="000000" w:sz="4" w:space="0"/>
              <w:left w:val="single" w:color="000000" w:sz="4" w:space="0"/>
              <w:bottom w:val="nil"/>
              <w:right w:val="single" w:color="000000" w:sz="4" w:space="0"/>
            </w:tcBorders>
            <w:shd w:val="clear" w:color="auto" w:fill="auto"/>
            <w:vAlign w:val="center"/>
          </w:tcPr>
          <w:p w14:paraId="1C906377">
            <w:pPr>
              <w:jc w:val="left"/>
              <w:rPr>
                <w:rFonts w:hint="eastAsia" w:ascii="宋体" w:hAnsi="宋体" w:eastAsia="宋体" w:cs="宋体"/>
                <w:i w:val="0"/>
                <w:iCs w:val="0"/>
                <w:color w:val="000000"/>
                <w:sz w:val="28"/>
                <w:szCs w:val="28"/>
                <w:u w:val="none"/>
              </w:rPr>
            </w:pPr>
          </w:p>
        </w:tc>
      </w:tr>
      <w:tr w14:paraId="3121A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AD5B2">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p>
        </w:tc>
        <w:tc>
          <w:tcPr>
            <w:tcW w:w="2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E7E74">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p>
        </w:tc>
        <w:tc>
          <w:tcPr>
            <w:tcW w:w="2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DD926">
            <w:pPr>
              <w:jc w:val="center"/>
              <w:rPr>
                <w:rFonts w:hint="eastAsia" w:ascii="宋体" w:hAnsi="宋体" w:eastAsia="宋体" w:cs="宋体"/>
                <w:b/>
                <w:bCs/>
                <w:i w:val="0"/>
                <w:iCs w:val="0"/>
                <w:color w:val="000000"/>
                <w:sz w:val="28"/>
                <w:szCs w:val="28"/>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6A65D">
            <w:pPr>
              <w:jc w:val="center"/>
              <w:rPr>
                <w:rFonts w:hint="eastAsia" w:ascii="宋体" w:hAnsi="宋体" w:eastAsia="宋体" w:cs="宋体"/>
                <w:b/>
                <w:bCs/>
                <w:i w:val="0"/>
                <w:iCs w:val="0"/>
                <w:color w:val="000000"/>
                <w:sz w:val="28"/>
                <w:szCs w:val="28"/>
                <w:u w:val="none"/>
              </w:rPr>
            </w:pPr>
          </w:p>
        </w:tc>
        <w:tc>
          <w:tcPr>
            <w:tcW w:w="2714" w:type="dxa"/>
            <w:vMerge w:val="continue"/>
            <w:tcBorders>
              <w:top w:val="single" w:color="000000" w:sz="4" w:space="0"/>
              <w:left w:val="single" w:color="000000" w:sz="4" w:space="0"/>
              <w:bottom w:val="nil"/>
              <w:right w:val="single" w:color="000000" w:sz="4" w:space="0"/>
            </w:tcBorders>
            <w:shd w:val="clear" w:color="auto" w:fill="auto"/>
            <w:vAlign w:val="center"/>
          </w:tcPr>
          <w:p w14:paraId="3F555493">
            <w:pPr>
              <w:jc w:val="left"/>
              <w:rPr>
                <w:rFonts w:hint="eastAsia" w:ascii="宋体" w:hAnsi="宋体" w:eastAsia="宋体" w:cs="宋体"/>
                <w:i w:val="0"/>
                <w:iCs w:val="0"/>
                <w:color w:val="000000"/>
                <w:sz w:val="28"/>
                <w:szCs w:val="28"/>
                <w:u w:val="none"/>
              </w:rPr>
            </w:pPr>
          </w:p>
        </w:tc>
      </w:tr>
      <w:tr w14:paraId="21F87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5F13E">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p>
        </w:tc>
        <w:tc>
          <w:tcPr>
            <w:tcW w:w="2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DFD39">
            <w:pPr>
              <w:jc w:val="center"/>
              <w:rPr>
                <w:rFonts w:hint="default" w:ascii="宋体" w:hAnsi="宋体" w:eastAsia="宋体" w:cs="宋体"/>
                <w:i w:val="0"/>
                <w:iCs w:val="0"/>
                <w:color w:val="000000"/>
                <w:sz w:val="36"/>
                <w:szCs w:val="36"/>
                <w:u w:val="none"/>
                <w:lang w:val="en-US" w:eastAsia="zh-CN"/>
              </w:rPr>
            </w:pPr>
          </w:p>
        </w:tc>
        <w:tc>
          <w:tcPr>
            <w:tcW w:w="20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1043D">
            <w:pPr>
              <w:jc w:val="center"/>
              <w:rPr>
                <w:rFonts w:hint="eastAsia" w:ascii="宋体" w:hAnsi="宋体" w:eastAsia="宋体" w:cs="宋体"/>
                <w:b/>
                <w:bCs/>
                <w:i w:val="0"/>
                <w:iCs w:val="0"/>
                <w:color w:val="000000"/>
                <w:sz w:val="28"/>
                <w:szCs w:val="28"/>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24935">
            <w:pPr>
              <w:jc w:val="center"/>
              <w:rPr>
                <w:rFonts w:hint="eastAsia" w:ascii="宋体" w:hAnsi="宋体" w:eastAsia="宋体" w:cs="宋体"/>
                <w:b/>
                <w:bCs/>
                <w:i w:val="0"/>
                <w:iCs w:val="0"/>
                <w:color w:val="000000"/>
                <w:sz w:val="28"/>
                <w:szCs w:val="28"/>
                <w:u w:val="none"/>
              </w:rPr>
            </w:pPr>
          </w:p>
        </w:tc>
        <w:tc>
          <w:tcPr>
            <w:tcW w:w="2714" w:type="dxa"/>
            <w:vMerge w:val="continue"/>
            <w:tcBorders>
              <w:top w:val="single" w:color="000000" w:sz="4" w:space="0"/>
              <w:left w:val="single" w:color="000000" w:sz="4" w:space="0"/>
              <w:bottom w:val="nil"/>
              <w:right w:val="single" w:color="000000" w:sz="4" w:space="0"/>
            </w:tcBorders>
            <w:shd w:val="clear" w:color="auto" w:fill="auto"/>
            <w:vAlign w:val="center"/>
          </w:tcPr>
          <w:p w14:paraId="4A602A4C">
            <w:pPr>
              <w:jc w:val="left"/>
              <w:rPr>
                <w:rFonts w:hint="eastAsia" w:ascii="宋体" w:hAnsi="宋体" w:eastAsia="宋体" w:cs="宋体"/>
                <w:i w:val="0"/>
                <w:iCs w:val="0"/>
                <w:color w:val="000000"/>
                <w:sz w:val="28"/>
                <w:szCs w:val="28"/>
                <w:u w:val="none"/>
              </w:rPr>
            </w:pPr>
          </w:p>
        </w:tc>
      </w:tr>
      <w:tr w14:paraId="03A4A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9308" w:type="dxa"/>
            <w:gridSpan w:val="5"/>
            <w:tcBorders>
              <w:top w:val="single" w:color="000000" w:sz="4" w:space="0"/>
              <w:left w:val="nil"/>
              <w:bottom w:val="nil"/>
              <w:right w:val="nil"/>
            </w:tcBorders>
            <w:shd w:val="clear" w:color="auto" w:fill="auto"/>
            <w:vAlign w:val="center"/>
          </w:tcPr>
          <w:p w14:paraId="45B3DC9D">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说明：先交押金再看货报价，电话、短信、微信报价及议价同时有效（安徽电缆废品库），招标方并不限于一次报价原则，根据本次投标方报价的结果，再进行议价，按最高价中标。任何废品都没有折扣，以甲方实际过磅重量现金结算，中标乙方装车必须听从甲方的安排，原则上是满一车就应及时来装，如不及时来装罚款200元/次，需提前30分钟到财务结算，过时不候，遇特殊情况再协商，严禁混装任何其它废品物资，如有违规现象，一经发现将按混装废品物资金额的10倍罚款，若因乙方原因不装货或未按甲方的要求装货造成甲方损失的，甲方将扣除乙方押金作为赔偿（中标方每样需交壹万押金）。中标人注意：协议到期前必须全部清仓。</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报价截止日期2025年7月10</w:t>
            </w:r>
            <w:bookmarkStart w:id="0" w:name="_GoBack"/>
            <w:bookmarkEnd w:id="0"/>
            <w:r>
              <w:rPr>
                <w:rFonts w:hint="eastAsia" w:ascii="宋体" w:hAnsi="宋体" w:eastAsia="宋体" w:cs="宋体"/>
                <w:i w:val="0"/>
                <w:iCs w:val="0"/>
                <w:color w:val="000000"/>
                <w:kern w:val="0"/>
                <w:sz w:val="28"/>
                <w:szCs w:val="28"/>
                <w:u w:val="none"/>
                <w:lang w:val="en-US" w:eastAsia="zh-CN" w:bidi="ar"/>
              </w:rPr>
              <w:t>日。</w:t>
            </w:r>
          </w:p>
        </w:tc>
      </w:tr>
      <w:tr w14:paraId="50788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94" w:type="dxa"/>
            <w:tcBorders>
              <w:top w:val="nil"/>
              <w:left w:val="nil"/>
              <w:bottom w:val="nil"/>
              <w:right w:val="nil"/>
            </w:tcBorders>
            <w:shd w:val="clear" w:color="auto" w:fill="auto"/>
            <w:noWrap/>
            <w:vAlign w:val="center"/>
          </w:tcPr>
          <w:p w14:paraId="1CF2D670">
            <w:pPr>
              <w:rPr>
                <w:rFonts w:hint="eastAsia" w:ascii="宋体" w:hAnsi="宋体" w:eastAsia="宋体" w:cs="宋体"/>
                <w:i w:val="0"/>
                <w:iCs w:val="0"/>
                <w:color w:val="000000"/>
                <w:sz w:val="36"/>
                <w:szCs w:val="36"/>
                <w:u w:val="none"/>
              </w:rPr>
            </w:pPr>
          </w:p>
        </w:tc>
        <w:tc>
          <w:tcPr>
            <w:tcW w:w="2114" w:type="dxa"/>
            <w:tcBorders>
              <w:top w:val="nil"/>
              <w:left w:val="nil"/>
              <w:bottom w:val="nil"/>
              <w:right w:val="nil"/>
            </w:tcBorders>
            <w:shd w:val="clear" w:color="auto" w:fill="auto"/>
            <w:noWrap/>
            <w:vAlign w:val="center"/>
          </w:tcPr>
          <w:p w14:paraId="476B83E7">
            <w:pPr>
              <w:rPr>
                <w:rFonts w:hint="eastAsia" w:ascii="宋体" w:hAnsi="宋体" w:eastAsia="宋体" w:cs="宋体"/>
                <w:i w:val="0"/>
                <w:iCs w:val="0"/>
                <w:color w:val="000000"/>
                <w:sz w:val="36"/>
                <w:szCs w:val="36"/>
                <w:u w:val="none"/>
              </w:rPr>
            </w:pPr>
          </w:p>
        </w:tc>
        <w:tc>
          <w:tcPr>
            <w:tcW w:w="2086" w:type="dxa"/>
            <w:tcBorders>
              <w:top w:val="nil"/>
              <w:left w:val="nil"/>
              <w:bottom w:val="nil"/>
              <w:right w:val="nil"/>
            </w:tcBorders>
            <w:shd w:val="clear" w:color="auto" w:fill="auto"/>
            <w:noWrap/>
            <w:vAlign w:val="center"/>
          </w:tcPr>
          <w:p w14:paraId="1398CE62">
            <w:pPr>
              <w:rPr>
                <w:rFonts w:hint="eastAsia" w:ascii="宋体" w:hAnsi="宋体" w:eastAsia="宋体" w:cs="宋体"/>
                <w:i w:val="0"/>
                <w:iCs w:val="0"/>
                <w:color w:val="000000"/>
                <w:sz w:val="36"/>
                <w:szCs w:val="36"/>
                <w:u w:val="none"/>
              </w:rPr>
            </w:pPr>
          </w:p>
        </w:tc>
        <w:tc>
          <w:tcPr>
            <w:tcW w:w="1800" w:type="dxa"/>
            <w:tcBorders>
              <w:top w:val="nil"/>
              <w:left w:val="nil"/>
              <w:bottom w:val="nil"/>
              <w:right w:val="nil"/>
            </w:tcBorders>
            <w:shd w:val="clear" w:color="auto" w:fill="auto"/>
            <w:noWrap/>
            <w:vAlign w:val="center"/>
          </w:tcPr>
          <w:p w14:paraId="090D4F5E">
            <w:pPr>
              <w:rPr>
                <w:rFonts w:hint="eastAsia" w:ascii="宋体" w:hAnsi="宋体" w:eastAsia="宋体" w:cs="宋体"/>
                <w:i w:val="0"/>
                <w:iCs w:val="0"/>
                <w:color w:val="000000"/>
                <w:sz w:val="36"/>
                <w:szCs w:val="36"/>
                <w:u w:val="none"/>
              </w:rPr>
            </w:pPr>
          </w:p>
        </w:tc>
        <w:tc>
          <w:tcPr>
            <w:tcW w:w="2714" w:type="dxa"/>
            <w:tcBorders>
              <w:top w:val="nil"/>
              <w:left w:val="nil"/>
              <w:bottom w:val="nil"/>
              <w:right w:val="nil"/>
            </w:tcBorders>
            <w:shd w:val="clear" w:color="auto" w:fill="auto"/>
            <w:noWrap/>
            <w:vAlign w:val="center"/>
          </w:tcPr>
          <w:p w14:paraId="772106BD">
            <w:pPr>
              <w:rPr>
                <w:rFonts w:hint="eastAsia" w:ascii="宋体" w:hAnsi="宋体" w:eastAsia="宋体" w:cs="宋体"/>
                <w:i w:val="0"/>
                <w:iCs w:val="0"/>
                <w:color w:val="000000"/>
                <w:sz w:val="36"/>
                <w:szCs w:val="36"/>
                <w:u w:val="none"/>
              </w:rPr>
            </w:pPr>
          </w:p>
        </w:tc>
      </w:tr>
      <w:tr w14:paraId="71B5C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4794" w:type="dxa"/>
            <w:gridSpan w:val="3"/>
            <w:tcBorders>
              <w:top w:val="nil"/>
              <w:left w:val="nil"/>
              <w:bottom w:val="nil"/>
              <w:right w:val="nil"/>
            </w:tcBorders>
            <w:shd w:val="clear" w:color="auto" w:fill="auto"/>
            <w:vAlign w:val="center"/>
          </w:tcPr>
          <w:p w14:paraId="574C6730">
            <w:pPr>
              <w:keepNext w:val="0"/>
              <w:keepLines w:val="0"/>
              <w:widowControl/>
              <w:suppressLineNumbers w:val="0"/>
              <w:jc w:val="left"/>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招标方经办人：</w:t>
            </w:r>
            <w:r>
              <w:rPr>
                <w:rFonts w:hint="eastAsia" w:ascii="宋体" w:hAnsi="宋体" w:eastAsia="宋体" w:cs="宋体"/>
                <w:i w:val="0"/>
                <w:iCs w:val="0"/>
                <w:color w:val="000000"/>
                <w:kern w:val="0"/>
                <w:sz w:val="32"/>
                <w:szCs w:val="32"/>
                <w:u w:val="none"/>
                <w:lang w:val="en-US" w:eastAsia="zh-CN" w:bidi="ar"/>
              </w:rPr>
              <w:br w:type="textWrapping"/>
            </w:r>
            <w:r>
              <w:rPr>
                <w:rFonts w:hint="eastAsia" w:ascii="宋体" w:hAnsi="宋体" w:eastAsia="宋体" w:cs="宋体"/>
                <w:i w:val="0"/>
                <w:iCs w:val="0"/>
                <w:color w:val="000000"/>
                <w:kern w:val="0"/>
                <w:sz w:val="32"/>
                <w:szCs w:val="32"/>
                <w:u w:val="none"/>
                <w:lang w:val="en-US" w:eastAsia="zh-CN" w:bidi="ar"/>
              </w:rPr>
              <w:t xml:space="preserve">               </w:t>
            </w:r>
          </w:p>
        </w:tc>
        <w:tc>
          <w:tcPr>
            <w:tcW w:w="4514" w:type="dxa"/>
            <w:gridSpan w:val="2"/>
            <w:tcBorders>
              <w:top w:val="nil"/>
              <w:left w:val="nil"/>
              <w:bottom w:val="nil"/>
              <w:right w:val="nil"/>
            </w:tcBorders>
            <w:shd w:val="clear" w:color="auto" w:fill="auto"/>
            <w:noWrap/>
            <w:vAlign w:val="center"/>
          </w:tcPr>
          <w:p w14:paraId="7451941F">
            <w:pPr>
              <w:keepNext w:val="0"/>
              <w:keepLines w:val="0"/>
              <w:widowControl/>
              <w:suppressLineNumbers w:val="0"/>
              <w:jc w:val="left"/>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投标方报价人：</w:t>
            </w:r>
          </w:p>
        </w:tc>
      </w:tr>
      <w:tr w14:paraId="0EF76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4794" w:type="dxa"/>
            <w:gridSpan w:val="3"/>
            <w:tcBorders>
              <w:top w:val="nil"/>
              <w:left w:val="nil"/>
              <w:bottom w:val="nil"/>
              <w:right w:val="nil"/>
            </w:tcBorders>
            <w:shd w:val="clear" w:color="auto" w:fill="auto"/>
            <w:noWrap/>
            <w:vAlign w:val="center"/>
          </w:tcPr>
          <w:p w14:paraId="542419EA">
            <w:pPr>
              <w:keepNext w:val="0"/>
              <w:keepLines w:val="0"/>
              <w:widowControl/>
              <w:suppressLineNumbers w:val="0"/>
              <w:jc w:val="left"/>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对接人：戴雪峰：18805509051</w:t>
            </w:r>
          </w:p>
        </w:tc>
        <w:tc>
          <w:tcPr>
            <w:tcW w:w="4514" w:type="dxa"/>
            <w:gridSpan w:val="2"/>
            <w:tcBorders>
              <w:top w:val="nil"/>
              <w:left w:val="nil"/>
              <w:bottom w:val="nil"/>
              <w:right w:val="nil"/>
            </w:tcBorders>
            <w:shd w:val="clear" w:color="auto" w:fill="auto"/>
            <w:noWrap/>
            <w:vAlign w:val="center"/>
          </w:tcPr>
          <w:p w14:paraId="12EE5780">
            <w:pPr>
              <w:keepNext w:val="0"/>
              <w:keepLines w:val="0"/>
              <w:widowControl/>
              <w:suppressLineNumbers w:val="0"/>
              <w:jc w:val="left"/>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联系方式：</w:t>
            </w:r>
          </w:p>
        </w:tc>
      </w:tr>
    </w:tbl>
    <w:p w14:paraId="1D997126">
      <w:pPr>
        <w:spacing w:line="400" w:lineRule="atLeast"/>
        <w:rPr>
          <w:rFonts w:hint="eastAsia" w:ascii="仿宋" w:hAnsi="仿宋" w:eastAsia="仿宋" w:cs="仿宋"/>
          <w:sz w:val="28"/>
        </w:rPr>
      </w:pPr>
    </w:p>
    <w:sectPr>
      <w:pgSz w:w="11905" w:h="16837" w:orient="landscape"/>
      <w:pgMar w:top="1440" w:right="2125" w:bottom="1440" w:left="1800" w:header="850" w:footer="99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Q4ZWExM2NlOWNhZjJmODZlNmRiNzU4MGVlNDdhMDIifQ=="/>
  </w:docVars>
  <w:rsids>
    <w:rsidRoot w:val="003D73E9"/>
    <w:rsid w:val="003D73E9"/>
    <w:rsid w:val="00677889"/>
    <w:rsid w:val="00875AFD"/>
    <w:rsid w:val="008C6B30"/>
    <w:rsid w:val="00A25D17"/>
    <w:rsid w:val="00B75196"/>
    <w:rsid w:val="00E61ABF"/>
    <w:rsid w:val="021E7D6B"/>
    <w:rsid w:val="04E93236"/>
    <w:rsid w:val="08260159"/>
    <w:rsid w:val="0A5B0B08"/>
    <w:rsid w:val="1684735A"/>
    <w:rsid w:val="1D17FDA5"/>
    <w:rsid w:val="2E8B5201"/>
    <w:rsid w:val="30B93B56"/>
    <w:rsid w:val="3B531691"/>
    <w:rsid w:val="40E7148E"/>
    <w:rsid w:val="465D62DF"/>
    <w:rsid w:val="4A7A1368"/>
    <w:rsid w:val="4C7349F5"/>
    <w:rsid w:val="57FFCB0E"/>
    <w:rsid w:val="5C1F3DB5"/>
    <w:rsid w:val="5CCA2F92"/>
    <w:rsid w:val="5E6429CD"/>
    <w:rsid w:val="638F7CE8"/>
    <w:rsid w:val="63FC70D8"/>
    <w:rsid w:val="64611F7D"/>
    <w:rsid w:val="67303987"/>
    <w:rsid w:val="67A543DD"/>
    <w:rsid w:val="714A783F"/>
    <w:rsid w:val="73EFDB59"/>
    <w:rsid w:val="7E658526"/>
    <w:rsid w:val="7EDF746F"/>
    <w:rsid w:val="7FFE1FAE"/>
    <w:rsid w:val="B9B80030"/>
    <w:rsid w:val="BD3E095B"/>
    <w:rsid w:val="E5FF7C84"/>
    <w:rsid w:val="FBCF7884"/>
    <w:rsid w:val="FBEEA9EA"/>
    <w:rsid w:val="FFEB7AB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1"/>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
  </w:style>
  <w:style w:type="character" w:styleId="5">
    <w:name w:val="FollowedHyperlink"/>
    <w:basedOn w:val="4"/>
    <w:qFormat/>
    <w:uiPriority w:val="0"/>
    <w:rPr>
      <w:color w:val="800080" w:themeColor="followedHyperlink"/>
      <w:u w:val="single"/>
      <w14:textFill>
        <w14:solidFill>
          <w14:schemeClr w14:val="folHlink"/>
        </w14:solidFill>
      </w14:textFill>
    </w:rPr>
  </w:style>
  <w:style w:type="character" w:styleId="6">
    <w:name w:val="Hyperlink"/>
    <w:basedOn w:val="4"/>
    <w:qFormat/>
    <w:uiPriority w:val="0"/>
    <w:rPr>
      <w:color w:val="0000FF"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855</Words>
  <Characters>924</Characters>
  <Lines>6</Lines>
  <Paragraphs>1</Paragraphs>
  <TotalTime>23</TotalTime>
  <ScaleCrop>false</ScaleCrop>
  <LinksUpToDate>false</LinksUpToDate>
  <CharactersWithSpaces>981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1970-01-04T08:00:00Z</dcterms:created>
  <dc:creator>DingTalk</dc:creator>
  <dc:description>DingTalk Document</dc:description>
  <cp:lastModifiedBy>戴雪峰</cp:lastModifiedBy>
  <dcterms:modified xsi:type="dcterms:W3CDTF">2025-07-03T01:54:56Z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3E956F6FE88249408289723CF99AE6EA</vt:lpwstr>
  </property>
  <property fmtid="{D5CDD505-2E9C-101B-9397-08002B2CF9AE}" pid="4" name="KSOTemplateDocerSaveRecord">
    <vt:lpwstr>eyJoZGlkIjoiYTQ4ZWExM2NlOWNhZjJmODZlNmRiNzU4MGVlNDdhMDIiLCJ1c2VySWQiOiIxNTc1NzExNjk0In0=</vt:lpwstr>
  </property>
</Properties>
</file>